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5B" w:rsidRDefault="0086455B" w:rsidP="0086455B">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374/2012. (XII. 18.) Korm. rendelet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4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egyes</w:t>
      </w:r>
      <w:proofErr w:type="gramEnd"/>
      <w:r>
        <w:rPr>
          <w:rFonts w:ascii="Times New Roman" w:hAnsi="Times New Roman" w:cs="Times New Roman"/>
          <w:b/>
          <w:bCs/>
          <w:sz w:val="20"/>
          <w:szCs w:val="20"/>
        </w:rPr>
        <w:t xml:space="preserve"> veszélyes anyagok elektromos és elektronikus berendezésekben való alkalmazásának korlátozásáról</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Kormány a kémiai biztonságról szóló 2000. évi XXV. törvény 34. § (3) bekezdés </w:t>
      </w:r>
      <w:r>
        <w:rPr>
          <w:rFonts w:ascii="Times New Roman" w:hAnsi="Times New Roman" w:cs="Times New Roman"/>
          <w:i/>
          <w:iCs/>
          <w:sz w:val="20"/>
          <w:szCs w:val="20"/>
        </w:rPr>
        <w:t>e)</w:t>
      </w:r>
      <w:r>
        <w:rPr>
          <w:rFonts w:ascii="Times New Roman" w:hAnsi="Times New Roman" w:cs="Times New Roman"/>
          <w:sz w:val="20"/>
          <w:szCs w:val="20"/>
        </w:rPr>
        <w:t xml:space="preserve"> pontjában foglalt felhatalmazás alapján – az Alaptörvény 15. cikk (1) bekezdésében meghatározott feladatkörében eljárva – a következőket rendeli el:</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 A rendelet hatálya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 §</w:t>
      </w:r>
      <w:r>
        <w:rPr>
          <w:rFonts w:ascii="Times New Roman" w:hAnsi="Times New Roman" w:cs="Times New Roman"/>
          <w:sz w:val="20"/>
          <w:szCs w:val="20"/>
        </w:rPr>
        <w:t xml:space="preserve"> (1) E rendelet hatálya az elektromos és elektronikus berendezésekre és az azokban alkalmazható veszélyes anyagokra terjed ki.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E rendelet hatálya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Magyarország alapvető biztonságának védelméhez szükséges berendezésekre, beleértve a kifejezetten katonai célokra szánt fegyvereket, lőszereket és hadifelszerelést is,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világűrbe felbocsátásra szánt berendezésekre,</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olyan berendezésre, amelyet kifejezetten egy másik fajta, e rendelet hatálya alá nem tartozó berendezés részének szánnak, vagy akként szerelnek be, és amely csak ez utóbbi berendezés részeként alkalmas rendeltetésének betöltésére, továbbá amelyet csak ugyanazon külön megtervezett berendezés válthat fel,</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nagyméretű, rögzített ipari szerszámokra,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nagyméretű, helyhez kötött ipari létesítményekre,</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személy- és áruszállítási eszközökre, a típusjóváhagyással nem rendelkező elektromos kétkerekű járművek kivételével,</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kizárólag szakmai használatra rendelkezésre bocsátott, nem közúti mozgó gépekre,</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h</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aktív beültethető orvostechnikai eszközökre,</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 fényelektromos eszközökre, amelyeket olyan rendszerben szándékoznak alkalmazni, amelyet egy meghatározott helyen való tartós használatra terveztek, szereltek össze és üzemeltek be szakemberek közüzemi, kereskedelmi, ipari és lakossági felhasználás céljából, napfényből származó energiatermeléshez és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 kifejezetten kutatás és fejlesztés céljából tervezett, kizárólag vállalkozások által egymás rendelkezésére bocsátott berendezésekre</w:t>
      </w:r>
    </w:p>
    <w:p w:rsidR="0086455B" w:rsidRDefault="0086455B" w:rsidP="0086455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nem</w:t>
      </w:r>
      <w:proofErr w:type="gramEnd"/>
      <w:r>
        <w:rPr>
          <w:rFonts w:ascii="Times New Roman" w:hAnsi="Times New Roman" w:cs="Times New Roman"/>
          <w:sz w:val="20"/>
          <w:szCs w:val="20"/>
        </w:rPr>
        <w:t xml:space="preserve"> terjed ki.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 Értelmező rendelkezések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 §</w:t>
      </w:r>
      <w:r>
        <w:rPr>
          <w:rFonts w:ascii="Times New Roman" w:hAnsi="Times New Roman" w:cs="Times New Roman"/>
          <w:sz w:val="20"/>
          <w:szCs w:val="20"/>
        </w:rPr>
        <w:t xml:space="preserve"> E rendelet alkalmazásában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 </w:t>
      </w:r>
      <w:r>
        <w:rPr>
          <w:rFonts w:ascii="Times New Roman" w:hAnsi="Times New Roman" w:cs="Times New Roman"/>
          <w:i/>
          <w:iCs/>
          <w:sz w:val="20"/>
          <w:szCs w:val="20"/>
        </w:rPr>
        <w:t>aktív beültethető orvostechnikai eszköz:</w:t>
      </w:r>
      <w:r>
        <w:rPr>
          <w:rFonts w:ascii="Times New Roman" w:hAnsi="Times New Roman" w:cs="Times New Roman"/>
          <w:sz w:val="20"/>
          <w:szCs w:val="20"/>
        </w:rPr>
        <w:t xml:space="preserve"> az orvostechnikai eszközökről szóló miniszteri rendelet szerinti aktív implantátum;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w:t>
      </w:r>
      <w:r>
        <w:rPr>
          <w:rFonts w:ascii="Times New Roman" w:hAnsi="Times New Roman" w:cs="Times New Roman"/>
          <w:i/>
          <w:iCs/>
          <w:sz w:val="20"/>
          <w:szCs w:val="20"/>
        </w:rPr>
        <w:t>CE jelölés:</w:t>
      </w:r>
      <w:r>
        <w:rPr>
          <w:rFonts w:ascii="Times New Roman" w:hAnsi="Times New Roman" w:cs="Times New Roman"/>
          <w:sz w:val="20"/>
          <w:szCs w:val="20"/>
        </w:rPr>
        <w:t xml:space="preserve"> olyan jelölés, amellyel a gyártó azt jelzi, hogy a termék megfelel a jelölés alkalmazását előíró uniós követelményeknek;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w:t>
      </w:r>
      <w:r>
        <w:rPr>
          <w:rFonts w:ascii="Times New Roman" w:hAnsi="Times New Roman" w:cs="Times New Roman"/>
          <w:i/>
          <w:iCs/>
          <w:sz w:val="20"/>
          <w:szCs w:val="20"/>
        </w:rPr>
        <w:t>cserealkatrész:</w:t>
      </w:r>
      <w:r>
        <w:rPr>
          <w:rFonts w:ascii="Times New Roman" w:hAnsi="Times New Roman" w:cs="Times New Roman"/>
          <w:sz w:val="20"/>
          <w:szCs w:val="20"/>
        </w:rPr>
        <w:t xml:space="preserve"> az elektromos és elektronikus berendezés egy részét helyettesíthető külön része, amely nélkül az elektromos és elektronikus berendezés nem működhet a tervezettnek megfelelően, illetve az elektromos és elektronikus berendezés működőképessége helyreáll, illetve javul az alkatrész cserealkatrésszel történő helyettesítése révén;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w:t>
      </w:r>
      <w:r>
        <w:rPr>
          <w:rFonts w:ascii="Times New Roman" w:hAnsi="Times New Roman" w:cs="Times New Roman"/>
          <w:i/>
          <w:iCs/>
          <w:sz w:val="20"/>
          <w:szCs w:val="20"/>
        </w:rPr>
        <w:t>elektromos és elektronikus berendezés:</w:t>
      </w:r>
      <w:r>
        <w:rPr>
          <w:rFonts w:ascii="Times New Roman" w:hAnsi="Times New Roman" w:cs="Times New Roman"/>
          <w:sz w:val="20"/>
          <w:szCs w:val="20"/>
        </w:rPr>
        <w:t xml:space="preserve"> olyan berendezés, amelynek legalább egy szándékolt funkciója ellátásának megfelelő működése elektromos áram vagy elektromágneses mezőtől függ, valamint az elektromos áram vagy elektromágneses mező generálására, átalakítására és mérésére szolgáló olyan berendezés, amely váltóáram mellett legfeljebb 1000 volt, egyenáram mellett legfeljebb 1500 volt feszültségre terveztek;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w:t>
      </w:r>
      <w:r>
        <w:rPr>
          <w:rFonts w:ascii="Times New Roman" w:hAnsi="Times New Roman" w:cs="Times New Roman"/>
          <w:i/>
          <w:iCs/>
          <w:sz w:val="20"/>
          <w:szCs w:val="20"/>
        </w:rPr>
        <w:t>forgalmazó:</w:t>
      </w:r>
      <w:r>
        <w:rPr>
          <w:rFonts w:ascii="Times New Roman" w:hAnsi="Times New Roman" w:cs="Times New Roman"/>
          <w:sz w:val="20"/>
          <w:szCs w:val="20"/>
        </w:rPr>
        <w:t xml:space="preserve"> a gyártón és az importőrön kívüli természetes vagy jogi személy, aki az értékesítési láncban az elektromos vagy elektronikus berendezést rendelkezésre bocsátja;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w:t>
      </w:r>
      <w:r>
        <w:rPr>
          <w:rFonts w:ascii="Times New Roman" w:hAnsi="Times New Roman" w:cs="Times New Roman"/>
          <w:i/>
          <w:iCs/>
          <w:sz w:val="20"/>
          <w:szCs w:val="20"/>
        </w:rPr>
        <w:t>forgalomba hozatal:</w:t>
      </w:r>
      <w:r>
        <w:rPr>
          <w:rFonts w:ascii="Times New Roman" w:hAnsi="Times New Roman" w:cs="Times New Roman"/>
          <w:sz w:val="20"/>
          <w:szCs w:val="20"/>
        </w:rPr>
        <w:t xml:space="preserve"> egy elektromos vagy elektronikus berendezés első alkalommal történő rendelkezésre bocsátása az uniós piacon;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w:t>
      </w:r>
      <w:r>
        <w:rPr>
          <w:rFonts w:ascii="Times New Roman" w:hAnsi="Times New Roman" w:cs="Times New Roman"/>
          <w:i/>
          <w:iCs/>
          <w:sz w:val="20"/>
          <w:szCs w:val="20"/>
        </w:rPr>
        <w:t>forgalomból történő kivonás:</w:t>
      </w:r>
      <w:r>
        <w:rPr>
          <w:rFonts w:ascii="Times New Roman" w:hAnsi="Times New Roman" w:cs="Times New Roman"/>
          <w:sz w:val="20"/>
          <w:szCs w:val="20"/>
        </w:rPr>
        <w:t xml:space="preserve"> minden olyan intézkedés, amelynek célja egy termék forgalmazásának megakadályozása az értékesítési láncban;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w:t>
      </w:r>
      <w:r>
        <w:rPr>
          <w:rFonts w:ascii="Times New Roman" w:hAnsi="Times New Roman" w:cs="Times New Roman"/>
          <w:i/>
          <w:iCs/>
          <w:sz w:val="20"/>
          <w:szCs w:val="20"/>
        </w:rPr>
        <w:t>gazdasági szereplő:</w:t>
      </w:r>
      <w:r>
        <w:rPr>
          <w:rFonts w:ascii="Times New Roman" w:hAnsi="Times New Roman" w:cs="Times New Roman"/>
          <w:sz w:val="20"/>
          <w:szCs w:val="20"/>
        </w:rPr>
        <w:t xml:space="preserve"> a gyártó, a meghatalmazott képviselő, az importőr és a forgalmazó;</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9. </w:t>
      </w:r>
      <w:r>
        <w:rPr>
          <w:rFonts w:ascii="Times New Roman" w:hAnsi="Times New Roman" w:cs="Times New Roman"/>
          <w:i/>
          <w:iCs/>
          <w:sz w:val="20"/>
          <w:szCs w:val="20"/>
        </w:rPr>
        <w:t>gyártó:</w:t>
      </w:r>
      <w:r>
        <w:rPr>
          <w:rFonts w:ascii="Times New Roman" w:hAnsi="Times New Roman" w:cs="Times New Roman"/>
          <w:sz w:val="20"/>
          <w:szCs w:val="20"/>
        </w:rPr>
        <w:t xml:space="preserve"> a természetes vagy jogi személy, </w:t>
      </w:r>
      <w:proofErr w:type="gramStart"/>
      <w:r>
        <w:rPr>
          <w:rFonts w:ascii="Times New Roman" w:hAnsi="Times New Roman" w:cs="Times New Roman"/>
          <w:sz w:val="20"/>
          <w:szCs w:val="20"/>
        </w:rPr>
        <w:t>aki</w:t>
      </w:r>
      <w:proofErr w:type="gramEnd"/>
      <w:r>
        <w:rPr>
          <w:rFonts w:ascii="Times New Roman" w:hAnsi="Times New Roman" w:cs="Times New Roman"/>
          <w:sz w:val="20"/>
          <w:szCs w:val="20"/>
        </w:rPr>
        <w:t xml:space="preserve"> vagy amely elektromos vagy elektronikus berendezést gyárt, vagy saját neve vagy védjegye alatt ilyen berendezést terveztet vagy gyártat és forgalmaz;</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w:t>
      </w:r>
      <w:r>
        <w:rPr>
          <w:rFonts w:ascii="Times New Roman" w:hAnsi="Times New Roman" w:cs="Times New Roman"/>
          <w:i/>
          <w:iCs/>
          <w:sz w:val="20"/>
          <w:szCs w:val="20"/>
        </w:rPr>
        <w:t>harmonizált szabvány:</w:t>
      </w:r>
      <w:r>
        <w:rPr>
          <w:rFonts w:ascii="Times New Roman" w:hAnsi="Times New Roman" w:cs="Times New Roman"/>
          <w:sz w:val="20"/>
          <w:szCs w:val="20"/>
        </w:rPr>
        <w:t xml:space="preserve"> olyan szabvány, amelyet a nemzeti szabványosításról szóló törvény szerinti Európai Szabványügyi Szervezet fogadott el;</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11. </w:t>
      </w:r>
      <w:r>
        <w:rPr>
          <w:rFonts w:ascii="Times New Roman" w:hAnsi="Times New Roman" w:cs="Times New Roman"/>
          <w:i/>
          <w:iCs/>
          <w:sz w:val="20"/>
          <w:szCs w:val="20"/>
        </w:rPr>
        <w:t>homogén anyag:</w:t>
      </w:r>
      <w:r>
        <w:rPr>
          <w:rFonts w:ascii="Times New Roman" w:hAnsi="Times New Roman" w:cs="Times New Roman"/>
          <w:sz w:val="20"/>
          <w:szCs w:val="20"/>
        </w:rPr>
        <w:t xml:space="preserve"> mindenütt egységes összetételű anyag vagy anyagok keveréke, amely több anyagra mechanikus úton, így különösen szétcsavarozással, vágással, zúzással, őrléssel vagy csiszolással szét nem bontható vagy választható;</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12. </w:t>
      </w:r>
      <w:r>
        <w:rPr>
          <w:rFonts w:ascii="Times New Roman" w:hAnsi="Times New Roman" w:cs="Times New Roman"/>
          <w:i/>
          <w:iCs/>
          <w:sz w:val="20"/>
          <w:szCs w:val="20"/>
        </w:rPr>
        <w:t xml:space="preserve">honosított harmonizált szabvány: a </w:t>
      </w:r>
      <w:r>
        <w:rPr>
          <w:rFonts w:ascii="Times New Roman" w:hAnsi="Times New Roman" w:cs="Times New Roman"/>
          <w:sz w:val="20"/>
          <w:szCs w:val="20"/>
        </w:rPr>
        <w:t>nemzeti szabványként közzétett harmonizált szabvány;</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13. </w:t>
      </w:r>
      <w:r>
        <w:rPr>
          <w:rFonts w:ascii="Times New Roman" w:hAnsi="Times New Roman" w:cs="Times New Roman"/>
          <w:i/>
          <w:iCs/>
          <w:sz w:val="20"/>
          <w:szCs w:val="20"/>
        </w:rPr>
        <w:t>importőr:</w:t>
      </w:r>
      <w:r>
        <w:rPr>
          <w:rFonts w:ascii="Times New Roman" w:hAnsi="Times New Roman" w:cs="Times New Roman"/>
          <w:sz w:val="20"/>
          <w:szCs w:val="20"/>
        </w:rPr>
        <w:t xml:space="preserve"> az Európai Unióban letelepedett olyan természetes vagy jogi személy, amely harmadik országból származó elektromos vagy elektronikus berendezést hoz forgalomba az uniós piacon;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14. </w:t>
      </w:r>
      <w:proofErr w:type="spellStart"/>
      <w:r>
        <w:rPr>
          <w:rFonts w:ascii="Times New Roman" w:hAnsi="Times New Roman" w:cs="Times New Roman"/>
          <w:i/>
          <w:iCs/>
          <w:sz w:val="20"/>
          <w:szCs w:val="20"/>
        </w:rPr>
        <w:t>in</w:t>
      </w:r>
      <w:proofErr w:type="spellEnd"/>
      <w:r>
        <w:rPr>
          <w:rFonts w:ascii="Times New Roman" w:hAnsi="Times New Roman" w:cs="Times New Roman"/>
          <w:i/>
          <w:iCs/>
          <w:sz w:val="20"/>
          <w:szCs w:val="20"/>
        </w:rPr>
        <w:t xml:space="preserve"> vitro diagnosztikai orvostechnikai eszköz:</w:t>
      </w:r>
      <w:r>
        <w:rPr>
          <w:rFonts w:ascii="Times New Roman" w:hAnsi="Times New Roman" w:cs="Times New Roman"/>
          <w:sz w:val="20"/>
          <w:szCs w:val="20"/>
        </w:rPr>
        <w:t xml:space="preserve"> az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vitro diagnosztikai orvostechnikai eszközökről szóló miniszteri rendelet szerinti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vitro diagnosztikai orvostechnikai eszköz;</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15. </w:t>
      </w:r>
      <w:r>
        <w:rPr>
          <w:rFonts w:ascii="Times New Roman" w:hAnsi="Times New Roman" w:cs="Times New Roman"/>
          <w:i/>
          <w:iCs/>
          <w:sz w:val="20"/>
          <w:szCs w:val="20"/>
        </w:rPr>
        <w:t>ipari felügyeleti és vezérlő eszközök:</w:t>
      </w:r>
      <w:r>
        <w:rPr>
          <w:rFonts w:ascii="Times New Roman" w:hAnsi="Times New Roman" w:cs="Times New Roman"/>
          <w:sz w:val="20"/>
          <w:szCs w:val="20"/>
        </w:rPr>
        <w:t xml:space="preserve"> kizárólag ipari vagy szakmai célú használatra kialakított felügyeleti és vezérlő eszközök;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16. </w:t>
      </w:r>
      <w:r>
        <w:rPr>
          <w:rFonts w:ascii="Times New Roman" w:hAnsi="Times New Roman" w:cs="Times New Roman"/>
          <w:i/>
          <w:iCs/>
          <w:sz w:val="20"/>
          <w:szCs w:val="20"/>
        </w:rPr>
        <w:t>kábelek:</w:t>
      </w:r>
      <w:r>
        <w:rPr>
          <w:rFonts w:ascii="Times New Roman" w:hAnsi="Times New Roman" w:cs="Times New Roman"/>
          <w:sz w:val="20"/>
          <w:szCs w:val="20"/>
        </w:rPr>
        <w:t xml:space="preserve"> 250 voltnál kisebb feszültségű kábel, amely elektromos és elektronikus berendezések elektromos kimenethez való csatlakoztatásához, két vagy több elektromos és elektronikus berendezés egymáshoz való csatlakoztatásához összeköttetésként vagy hosszabbítóként szolgál;</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17. </w:t>
      </w:r>
      <w:r>
        <w:rPr>
          <w:rFonts w:ascii="Times New Roman" w:hAnsi="Times New Roman" w:cs="Times New Roman"/>
          <w:i/>
          <w:iCs/>
          <w:sz w:val="20"/>
          <w:szCs w:val="20"/>
        </w:rPr>
        <w:t>kizárólag szakmai használatra szánt nem közúti mozgó gép:</w:t>
      </w:r>
      <w:r>
        <w:rPr>
          <w:rFonts w:ascii="Times New Roman" w:hAnsi="Times New Roman" w:cs="Times New Roman"/>
          <w:sz w:val="20"/>
          <w:szCs w:val="20"/>
        </w:rPr>
        <w:t xml:space="preserve"> fedélzeti energiaforrással rendelkező gép, amelynek működtetése mobilitást, folyamatos vagy részben folyamatos mozgást követel meg meghatározott munkavégzési helyek között, és kizárólag szakmai célra használható;</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18. </w:t>
      </w:r>
      <w:r>
        <w:rPr>
          <w:rFonts w:ascii="Times New Roman" w:hAnsi="Times New Roman" w:cs="Times New Roman"/>
          <w:i/>
          <w:iCs/>
          <w:sz w:val="20"/>
          <w:szCs w:val="20"/>
        </w:rPr>
        <w:t>megbízható helyettesítő anyag:</w:t>
      </w:r>
      <w:r>
        <w:rPr>
          <w:rFonts w:ascii="Times New Roman" w:hAnsi="Times New Roman" w:cs="Times New Roman"/>
          <w:sz w:val="20"/>
          <w:szCs w:val="20"/>
        </w:rPr>
        <w:t xml:space="preserve"> olyan helyettesítő anyag, amellyel az elektromos és elektronikus berendezés valószínűleg hiba nélkül fogja a megkövetelt funkciót ellátni adott körülmények között, adott időtartamig;</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19. </w:t>
      </w:r>
      <w:proofErr w:type="spellStart"/>
      <w:r>
        <w:rPr>
          <w:rFonts w:ascii="Times New Roman" w:hAnsi="Times New Roman" w:cs="Times New Roman"/>
          <w:i/>
          <w:iCs/>
          <w:sz w:val="20"/>
          <w:szCs w:val="20"/>
        </w:rPr>
        <w:t>megfelelőségértékelés</w:t>
      </w:r>
      <w:proofErr w:type="spellEnd"/>
      <w:r>
        <w:rPr>
          <w:rFonts w:ascii="Times New Roman" w:hAnsi="Times New Roman" w:cs="Times New Roman"/>
          <w:i/>
          <w:iCs/>
          <w:sz w:val="20"/>
          <w:szCs w:val="20"/>
        </w:rPr>
        <w:t>:</w:t>
      </w:r>
      <w:r>
        <w:rPr>
          <w:rFonts w:ascii="Times New Roman" w:hAnsi="Times New Roman" w:cs="Times New Roman"/>
          <w:sz w:val="20"/>
          <w:szCs w:val="20"/>
        </w:rPr>
        <w:t xml:space="preserve"> az elektromos vagy elektronikus berendezés e rendelet szerinti követelményei megfelelőségének kimutatása érdekében alkalmazott eljárás;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20. </w:t>
      </w:r>
      <w:r>
        <w:rPr>
          <w:rFonts w:ascii="Times New Roman" w:hAnsi="Times New Roman" w:cs="Times New Roman"/>
          <w:i/>
          <w:iCs/>
          <w:sz w:val="20"/>
          <w:szCs w:val="20"/>
        </w:rPr>
        <w:t>meghatalmazott képviselő:</w:t>
      </w:r>
      <w:r>
        <w:rPr>
          <w:rFonts w:ascii="Times New Roman" w:hAnsi="Times New Roman" w:cs="Times New Roman"/>
          <w:sz w:val="20"/>
          <w:szCs w:val="20"/>
        </w:rPr>
        <w:t xml:space="preserve"> az Európai Unióban letelepedett természetes vagy jogi személy, </w:t>
      </w:r>
      <w:proofErr w:type="gramStart"/>
      <w:r>
        <w:rPr>
          <w:rFonts w:ascii="Times New Roman" w:hAnsi="Times New Roman" w:cs="Times New Roman"/>
          <w:sz w:val="20"/>
          <w:szCs w:val="20"/>
        </w:rPr>
        <w:t>aki</w:t>
      </w:r>
      <w:proofErr w:type="gramEnd"/>
      <w:r>
        <w:rPr>
          <w:rFonts w:ascii="Times New Roman" w:hAnsi="Times New Roman" w:cs="Times New Roman"/>
          <w:sz w:val="20"/>
          <w:szCs w:val="20"/>
        </w:rPr>
        <w:t xml:space="preserve"> vagy amely a gyártótól írásbeli meghatalmazást kapott, hogy meghatározott feladatok céljából a gyártó nevében eljárjon;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21. </w:t>
      </w:r>
      <w:r>
        <w:rPr>
          <w:rFonts w:ascii="Times New Roman" w:hAnsi="Times New Roman" w:cs="Times New Roman"/>
          <w:i/>
          <w:iCs/>
          <w:sz w:val="20"/>
          <w:szCs w:val="20"/>
        </w:rPr>
        <w:t>műszaki leírás:</w:t>
      </w:r>
      <w:r>
        <w:rPr>
          <w:rFonts w:ascii="Times New Roman" w:hAnsi="Times New Roman" w:cs="Times New Roman"/>
          <w:sz w:val="20"/>
          <w:szCs w:val="20"/>
        </w:rPr>
        <w:t xml:space="preserve"> a termék, a folyamat vagy a szolgáltatás által teljesítendő műszaki követelményeket ismertető dokumentum;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22. </w:t>
      </w:r>
      <w:r>
        <w:rPr>
          <w:rFonts w:ascii="Times New Roman" w:hAnsi="Times New Roman" w:cs="Times New Roman"/>
          <w:i/>
          <w:iCs/>
          <w:sz w:val="20"/>
          <w:szCs w:val="20"/>
        </w:rPr>
        <w:t>nagyméretű, helyhez kötött létesítmény:</w:t>
      </w:r>
      <w:r>
        <w:rPr>
          <w:rFonts w:ascii="Times New Roman" w:hAnsi="Times New Roman" w:cs="Times New Roman"/>
          <w:sz w:val="20"/>
          <w:szCs w:val="20"/>
        </w:rPr>
        <w:t xml:space="preserve"> különböző típusú készülékek, illetve adott esetben egyéb eszközök nagyméretű kombinációja, amelyeket szakemberek állandó, előre meghatározott, ennek a célnak megfelelő helyen való használat céljából szerelnek össze és üzemelnek be vagy szerelnek le;</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23. </w:t>
      </w:r>
      <w:r>
        <w:rPr>
          <w:rFonts w:ascii="Times New Roman" w:hAnsi="Times New Roman" w:cs="Times New Roman"/>
          <w:i/>
          <w:iCs/>
          <w:sz w:val="20"/>
          <w:szCs w:val="20"/>
        </w:rPr>
        <w:t>nagyméretű, rögzített ipari szerszámok:</w:t>
      </w:r>
      <w:r>
        <w:rPr>
          <w:rFonts w:ascii="Times New Roman" w:hAnsi="Times New Roman" w:cs="Times New Roman"/>
          <w:sz w:val="20"/>
          <w:szCs w:val="20"/>
        </w:rPr>
        <w:t xml:space="preserve"> gépek, berendezések, illetve alkatrészek nagyméretű összessége, amelyek együtt egy adott alkalmazás céljából működnek, és amelyeket szakemberek állandó jelleggel egy adott helyen üzemelnek be és szerelnek le, illetve szakemberek vesznek igénybe és tartanak karban valamely ipari gyártó létesítményben vagy kutatási és fejlesztési létesítményben;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24. </w:t>
      </w:r>
      <w:r>
        <w:rPr>
          <w:rFonts w:ascii="Times New Roman" w:hAnsi="Times New Roman" w:cs="Times New Roman"/>
          <w:i/>
          <w:iCs/>
          <w:sz w:val="20"/>
          <w:szCs w:val="20"/>
        </w:rPr>
        <w:t>orvostechnikai eszköz:</w:t>
      </w:r>
      <w:r>
        <w:rPr>
          <w:rFonts w:ascii="Times New Roman" w:hAnsi="Times New Roman" w:cs="Times New Roman"/>
          <w:sz w:val="20"/>
          <w:szCs w:val="20"/>
        </w:rPr>
        <w:t xml:space="preserve"> az egészségügyről szóló törvény szerinti orvostechnikai eszköz, amely elektromos vagy elektronikus berendezés is egyben;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25. </w:t>
      </w:r>
      <w:r>
        <w:rPr>
          <w:rFonts w:ascii="Times New Roman" w:hAnsi="Times New Roman" w:cs="Times New Roman"/>
          <w:i/>
          <w:iCs/>
          <w:sz w:val="20"/>
          <w:szCs w:val="20"/>
        </w:rPr>
        <w:t>piacfelügyelet:</w:t>
      </w:r>
      <w:r>
        <w:rPr>
          <w:rFonts w:ascii="Times New Roman" w:hAnsi="Times New Roman" w:cs="Times New Roman"/>
          <w:sz w:val="20"/>
          <w:szCs w:val="20"/>
        </w:rPr>
        <w:t xml:space="preserve"> a hatóságok azon tevékenységei és intézkedései, amelyek azt hivatottak biztosítani, hogy az elektromos vagy elektronikus berendezések megfeleljenek az e rendeletben foglalt követelményeknek, és ne veszélyeztessék az egészséget, a biztonságot vagy egyéb közérdek érvényesülését;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26. </w:t>
      </w:r>
      <w:r>
        <w:rPr>
          <w:rFonts w:ascii="Times New Roman" w:hAnsi="Times New Roman" w:cs="Times New Roman"/>
          <w:i/>
          <w:iCs/>
          <w:sz w:val="20"/>
          <w:szCs w:val="20"/>
        </w:rPr>
        <w:t>piacon való hozzáférhetővé tétel:</w:t>
      </w:r>
      <w:r>
        <w:rPr>
          <w:rFonts w:ascii="Times New Roman" w:hAnsi="Times New Roman" w:cs="Times New Roman"/>
          <w:sz w:val="20"/>
          <w:szCs w:val="20"/>
        </w:rPr>
        <w:t xml:space="preserve"> olyan kereskedelmi tevékenység, amelynek során elektromos vagy elektronikus berendezést bocsátanak rendelkezésre – térítés ellenében vagy ingyenesen – az uniós piacon való forgalmazás, fogyasztás vagy felhasználás céljára;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27. </w:t>
      </w:r>
      <w:r>
        <w:rPr>
          <w:rFonts w:ascii="Times New Roman" w:hAnsi="Times New Roman" w:cs="Times New Roman"/>
          <w:i/>
          <w:iCs/>
          <w:sz w:val="20"/>
          <w:szCs w:val="20"/>
        </w:rPr>
        <w:t>rendelkezésre álló helyettesítő anyag:</w:t>
      </w:r>
      <w:r>
        <w:rPr>
          <w:rFonts w:ascii="Times New Roman" w:hAnsi="Times New Roman" w:cs="Times New Roman"/>
          <w:sz w:val="20"/>
          <w:szCs w:val="20"/>
        </w:rPr>
        <w:t xml:space="preserve"> olyan helyettesítő anyag, amely az 1. mellékletben felsorolt anyagok gyártásához és szállításához szükséges időhöz képest ésszerű határidőn belül gyártható és szállítható;</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28. </w:t>
      </w:r>
      <w:r>
        <w:rPr>
          <w:rFonts w:ascii="Times New Roman" w:hAnsi="Times New Roman" w:cs="Times New Roman"/>
          <w:i/>
          <w:iCs/>
          <w:sz w:val="20"/>
          <w:szCs w:val="20"/>
        </w:rPr>
        <w:t>visszahívás:</w:t>
      </w:r>
      <w:r>
        <w:rPr>
          <w:rFonts w:ascii="Times New Roman" w:hAnsi="Times New Roman" w:cs="Times New Roman"/>
          <w:sz w:val="20"/>
          <w:szCs w:val="20"/>
        </w:rPr>
        <w:t xml:space="preserve"> minden olyan intézkedés, amelynek célja a végfelhasználó számára már elérhető termék visszajuttatása.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 A veszélyes anyagok alkalmazásának korlátai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 §</w:t>
      </w:r>
      <w:r>
        <w:rPr>
          <w:rFonts w:ascii="Times New Roman" w:hAnsi="Times New Roman" w:cs="Times New Roman"/>
          <w:sz w:val="20"/>
          <w:szCs w:val="20"/>
        </w:rPr>
        <w:t xml:space="preserve"> (1) Az elektromos és elektronikus berendezés – beleértve a javításához, </w:t>
      </w:r>
      <w:proofErr w:type="spellStart"/>
      <w:r>
        <w:rPr>
          <w:rFonts w:ascii="Times New Roman" w:hAnsi="Times New Roman" w:cs="Times New Roman"/>
          <w:sz w:val="20"/>
          <w:szCs w:val="20"/>
        </w:rPr>
        <w:t>újrahasználatához</w:t>
      </w:r>
      <w:proofErr w:type="spellEnd"/>
      <w:r>
        <w:rPr>
          <w:rFonts w:ascii="Times New Roman" w:hAnsi="Times New Roman" w:cs="Times New Roman"/>
          <w:sz w:val="20"/>
          <w:szCs w:val="20"/>
        </w:rPr>
        <w:t>, működésének megújításához vagy teljesítménye javításához felhasznált kábeleket és cserealkatrészeket is –, ha homogén anyagában az 1. mellékletben foglalt anyagot a megengedettnél nagyobb koncentrációban tartalmazza, – a (2) bekezdés szerinti kivétellel – nem hozható forgalomba.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(1) bekezdés szerinti forgalomba hozatali tilalom a 2. és 3. mellékletben felsorolt elektromos és elektronikus berendezések esetében nem alkalmazható.</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 A veszélyes anyagok alkalmazása alóli mentesség biztosítása egyedi kérelem alapján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 §</w:t>
      </w:r>
      <w:r>
        <w:rPr>
          <w:rFonts w:ascii="Times New Roman" w:hAnsi="Times New Roman" w:cs="Times New Roman"/>
          <w:sz w:val="20"/>
          <w:szCs w:val="20"/>
        </w:rPr>
        <w:t xml:space="preserve"> (1) A gyártó, a gyártó meghatalmazott képviselője vagy az ellátási láncban részt vevő gazdasági szereplő a 2. és 3. mellékletben foglalt veszélyes anyagok alkalmazása alóli mentességi előírások módosítása vagy új mentesség megadása érdekében, az Európai Bizottság részére kérelmet nyújthat be. A kérelemnek legalább a 4. mellékletben foglaltakat tartalmaznia kell.</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2. és 3. mellékletben a veszélyes anyag tekintetében mentességi határidő került előírásra, a mentesség megújítására vonatkozó kérelmet a mentességi határidő lejárta előtt legalább 18 hónappal kell benyújtani.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w:t>
      </w:r>
      <w:proofErr w:type="gramStart"/>
      <w:r>
        <w:rPr>
          <w:rFonts w:ascii="Times New Roman" w:hAnsi="Times New Roman" w:cs="Times New Roman"/>
          <w:sz w:val="20"/>
          <w:szCs w:val="20"/>
        </w:rPr>
        <w:t>Mentesség abban az esetben szerezhető, ha az nem gyengíti a vegyi anyagok regisztrálásáról, értékeléséről, engedélyezéséről és korlátozásáról (REACH), az Európai Vegyianyag-ügynökség létrehozásáról, az 1999/45/EK irányelv módosításáról, valamint a 793/93/EGK tanácsi rendelet, az 1488/94/EK bizottsági rendelet, a 76/769/EGK tanácsi irányelv, a 91/155/EGK, a 93/67/EGK, a 93/105/EK és a 2000/21/EK bizottsági irányelv hatályon kívül helyezéséről szóló, 2006. december 18-i 1907/2006/EK európai parlamenti és tanácsi rendelet által a környezet és az egészség tekintetében biztosított védelmet, és ha:</w:t>
      </w:r>
      <w:proofErr w:type="gramEnd"/>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veszélyes anyag kivonása vagy helyettesítése a tervezés módosításával olyan anyagok vagy alkatrészek használatával, amelyekhez nem szükségesek az 1. mellékletben felsorolt anyagok, műszakilag vagy tudományosan nem kivitelezhető,</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helyettesítő anyagok megbízhatósága nem biztosított, vagy</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helyettesítés által okozott összes káros környezeti, egészségügyi és fogyasztók biztonságát érintő hatás várhatóan meghaladja az így elért összes környezeti, egészségügyi és fogyasztók biztonságát érintő előnyt.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 A veszélyes anyagok körének módosítása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 §</w:t>
      </w:r>
      <w:r>
        <w:rPr>
          <w:rFonts w:ascii="Times New Roman" w:hAnsi="Times New Roman" w:cs="Times New Roman"/>
          <w:sz w:val="20"/>
          <w:szCs w:val="20"/>
        </w:rPr>
        <w:t xml:space="preserve"> (1) A környezetvédelemért felelős miniszter az Európai Bizottságnál kezdeményezheti az 1. mellékletben felsorolt veszélyes anyagok jegyzékének módosítását.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javaslatnak legalább a következő adatokat kell tartalmaznia: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javasolt korlátozás pontos és világos megfogalmazása;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korlátozásra vonatkozó hivatkozások és tudományos bizonyítékok;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anyagnak vagy hasonló anyagok csoportjának elektromos és elektronikus berendezésekben való felhasználására vonatkozó információ;</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különösen az elektromos és elektronikus berendezések hulladékainak kezelésével kapcsolatos műveletek során észlelhető káros hatásokkal és kitettséggel kapcsolatos információ;</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esetleges helyettesítő anyagokkal és egyéb megoldásokkal, azok rendelkezésre állásával és megbízhatóságával kapcsolatos információ;</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uniós szintű korlátozás szükségességének igazolása;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javaslat társadalmi-gazdasági hatásainak értékelése.</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6. A gyártó kötelezettsége</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 §</w:t>
      </w:r>
      <w:r>
        <w:rPr>
          <w:rFonts w:ascii="Times New Roman" w:hAnsi="Times New Roman" w:cs="Times New Roman"/>
          <w:sz w:val="20"/>
          <w:szCs w:val="20"/>
        </w:rPr>
        <w:t xml:space="preserve"> (1) A gyártó az elektromos és elektronikus berendezés e rendeletben foglalt veszélyes anyag követelmények szerinti tervezését és gyártását biztosítja.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gyártó az 5. mellékletben foglaltak alapján összeállítja a műszaki dokumentációt és végrehajtja vagy végrehajtatja a belső gyártásellenőrzési eljárást.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(2) bekezdés szerint lefolytatott eljárás során az elektromos vagy elektronikus berendezésről azt állapítják meg, hogy megfelel az e rendeletben előírt követelményeknek, a gyártó EU-megfelelőségi nyilatkozatot állít ki, és </w:t>
      </w:r>
      <w:proofErr w:type="spellStart"/>
      <w:r>
        <w:rPr>
          <w:rFonts w:ascii="Times New Roman" w:hAnsi="Times New Roman" w:cs="Times New Roman"/>
          <w:sz w:val="20"/>
          <w:szCs w:val="20"/>
        </w:rPr>
        <w:t>CE-jelölést</w:t>
      </w:r>
      <w:proofErr w:type="spellEnd"/>
      <w:r>
        <w:rPr>
          <w:rFonts w:ascii="Times New Roman" w:hAnsi="Times New Roman" w:cs="Times New Roman"/>
          <w:sz w:val="20"/>
          <w:szCs w:val="20"/>
        </w:rPr>
        <w:t xml:space="preserve"> helyez el a készterméken. Az EU-megfelelőségi nyilatkozat kiállításának alapjául legalább az 5. melléklet szerinti tartalommal folyó, egyéb </w:t>
      </w:r>
      <w:proofErr w:type="spellStart"/>
      <w:r>
        <w:rPr>
          <w:rFonts w:ascii="Times New Roman" w:hAnsi="Times New Roman" w:cs="Times New Roman"/>
          <w:sz w:val="20"/>
          <w:szCs w:val="20"/>
        </w:rPr>
        <w:t>megfelelőségértékelési</w:t>
      </w:r>
      <w:proofErr w:type="spellEnd"/>
      <w:r>
        <w:rPr>
          <w:rFonts w:ascii="Times New Roman" w:hAnsi="Times New Roman" w:cs="Times New Roman"/>
          <w:sz w:val="20"/>
          <w:szCs w:val="20"/>
        </w:rPr>
        <w:t xml:space="preserve"> eljárásban is sor kerülhet, amely során egy egységes műszaki dokumentáció készíthető.</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gyártó az elektromos vagy elektronikus berendezés forgalomba hozatalától számított tíz évig a műszaki dokumentációt és az EU-megfelelőségi nyilatkozatot megőrzi.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gyártó gondoskodik olyan eljárások meglétéről, amelyekkel elérhető, hogy a sorozatgyártás e rendeletben előírt követelményeknek megfelelő maradjon. Ennek során figyelembe kell venni a termék tervezésének és jellemzőinek változásait, valamint azon harmonizált szabványok vagy műszaki specifikációk módosulásait, amelyek alapján az elektromos vagy elektronikus berendezés megfelelőségét megállapították.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(6) A gyártó nyilvántartja a nem megfelelő elektromos vagy elektronikus berendezéseket és a termékvisszahívásokat, továbbá erről tájékoztatja a forgalmazókat.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gyártó biztosítja, hogy elektromos vagy elektronikus berendezésen típus-, tétel-, sorozatszám, vagy egyéb azonosítására alkalmas elem szerepeljen, vagy ha a berendezés mérete vagy jellege ezt nem teszi lehetővé, a megkövetelt információk a csomagoláson, vagy a berendezést kísérő dokumentumban szerepeljenek.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gyártó – kivéve, ha más jogszabály részletesebb feltételeket állapít meg – feltünteti az elektromos vagy elektronikus berendezésen, vagy ha ez nem lehetséges, a csomagoláson vagy a berendezés kísérő dokumentációján a nevét, bejegyzett elnevezését vagy bejegyzett védjegyét és kapcsolattartási címét. Kapcsolattartási címként egyetlen olyan elérhetőséget kell megjelölni, ahol a gyártóval kapcsolatba lehet lépni.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 gyártó az általa forgalomba hozott olyan elektromos és elektronikus berendezés esetében, amely kapcsán megállapítja vagy valószínűsíti, hogy az nem felel meg az e rendelet által támasztott követelményeknek, azonnal megteszi a berendezés megfelelővé tételéhez, vagy szükség esetén forgalomból való kivonásához vagy visszahívásához szükséges intézkedéseket. A gyártó intézkedéséről – annak részletes bemutatásával – haladéktalanul tájékoztatja azon Európai Gazdasági Térségről szóló megállapodásban részes államok (a továbbiakban: </w:t>
      </w:r>
      <w:proofErr w:type="spellStart"/>
      <w:r>
        <w:rPr>
          <w:rFonts w:ascii="Times New Roman" w:hAnsi="Times New Roman" w:cs="Times New Roman"/>
          <w:sz w:val="20"/>
          <w:szCs w:val="20"/>
        </w:rPr>
        <w:t>EGT-állam</w:t>
      </w:r>
      <w:proofErr w:type="spellEnd"/>
      <w:r>
        <w:rPr>
          <w:rFonts w:ascii="Times New Roman" w:hAnsi="Times New Roman" w:cs="Times New Roman"/>
          <w:sz w:val="20"/>
          <w:szCs w:val="20"/>
        </w:rPr>
        <w:t>) hatáskörrel rendelkező nemzeti hatóságait, amelyek hozzáférhetővé tették az elektromos és elektronikus berendezést.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 gyártó más </w:t>
      </w:r>
      <w:proofErr w:type="spellStart"/>
      <w:r>
        <w:rPr>
          <w:rFonts w:ascii="Times New Roman" w:hAnsi="Times New Roman" w:cs="Times New Roman"/>
          <w:sz w:val="20"/>
          <w:szCs w:val="20"/>
        </w:rPr>
        <w:t>EGT-állam</w:t>
      </w:r>
      <w:proofErr w:type="spellEnd"/>
      <w:r>
        <w:rPr>
          <w:rFonts w:ascii="Times New Roman" w:hAnsi="Times New Roman" w:cs="Times New Roman"/>
          <w:sz w:val="20"/>
          <w:szCs w:val="20"/>
        </w:rPr>
        <w:t xml:space="preserve"> hatáskörrel rendelkező nemzeti hatóságának a piacfelügyeleti hatóság által közvetített, indokolt kérésére átadja az elektromos és elektronikus berendezés e rendeletnek való megfelelőségének igazolásához szükséges összes információt és dokumentációt magyar, vagy – amennyiben rendelkezésre áll – a hatóság által kért egyéb nyelven, és együttműködik az általa forgalomba hozott elektromos vagy elektronikus berendezés e rendeletnek való megfelelést biztosító intézkedésekben.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7. Gyártói képviselet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 §</w:t>
      </w:r>
      <w:r>
        <w:rPr>
          <w:rFonts w:ascii="Times New Roman" w:hAnsi="Times New Roman" w:cs="Times New Roman"/>
          <w:sz w:val="20"/>
          <w:szCs w:val="20"/>
        </w:rPr>
        <w:t xml:space="preserve"> (1) A gyártó e rendelet szerinti kötelezettségeinek ellátására – a (2) bekezdés szerinti kivétellel – írásban képviselőt hatalmazhat meg. A gyártó a képviselő meghatalmazásáról és elérhetőségéről a meghatalmazás másolatának megküldésével értesíti a termékcsoport ellenőrzése szerinti piacfelügyeleti hatóságot.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gyártó az elektromos és elektronikus berendezés e rendeletben foglalt veszélyes anyag követelmények szerinti tervezésének és gyártásának, valamint a műszaki dokumentáció elkészítési kötelezettségének ellátására képviselőt nem hatalmazhat meg.</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meghatalmazás legalább az alábbiakat tartalmazza: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EU-megfelelőségi nyilatkozat és a műszaki dokumentáció – ellenőrző hatóság számára bemutatás céljából – megőrzési kötelezettsége az elektromos és elektronikus berendezés forgalomba hozatalától számított tíz évig;</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elektromos vagy elektronikus berendezés e rendeletnek való megfelelését igazoló információ és dokumentáció átadása az ellenőrző hatóság kérésére;</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hatósággal való együttműködés az elektromos vagy elektronikus berendezések e rendeletnek való megfelelését biztosító intézkedések során.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8. Az importőr kötelezettsége</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 §</w:t>
      </w:r>
      <w:r>
        <w:rPr>
          <w:rFonts w:ascii="Times New Roman" w:hAnsi="Times New Roman" w:cs="Times New Roman"/>
          <w:sz w:val="20"/>
          <w:szCs w:val="20"/>
        </w:rPr>
        <w:t xml:space="preserve"> (1) Az importőr az elektromos és elektronikus berendezést </w:t>
      </w:r>
      <w:proofErr w:type="spellStart"/>
      <w:r>
        <w:rPr>
          <w:rFonts w:ascii="Times New Roman" w:hAnsi="Times New Roman" w:cs="Times New Roman"/>
          <w:sz w:val="20"/>
          <w:szCs w:val="20"/>
        </w:rPr>
        <w:t>CE-jelöléssel</w:t>
      </w:r>
      <w:proofErr w:type="spellEnd"/>
      <w:r>
        <w:rPr>
          <w:rFonts w:ascii="Times New Roman" w:hAnsi="Times New Roman" w:cs="Times New Roman"/>
          <w:sz w:val="20"/>
          <w:szCs w:val="20"/>
        </w:rPr>
        <w:t>, és ahhoz kapcsolódó dokumentumokkal hozhatja forgalomba. Az importőr nyilvántartja a nem megfelelő elektromos vagy elektronikus berendezéseket és a termékvisszahívásokat, továbbá erről tájékoztatja a forgalmazókat.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importőr az olyan elektromos és elektronikus berendezés esetében, amely kapcsán megállapítja vagy valószínűsíti, hogy az nem felel meg az e rendelet által támasztott követelményeknek, azt mindaddig nem hozhatja forgalomba, amíg nem felel meg e rendelet szerinti előírásoknak. Az importőr az intézkedéséről tájékoztatja a gyártót, valamint a piacfelügyeleti hatóságot. A 6. § (9) bekezdés szerinti előírások az importőr esetében is alkalmazandóak.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importőr – kivéve, ha más jogszabály részletesebb feltételeket állapít meg – feltünteti az elektromos vagy elektronikus berendezésen, vagy – ha ez nem lehetséges – a csomagoláson vagy a berendezés kísérő dokumentációján a nevét, bejegyzett elnevezését vagy bejegyzett védjegyét és kapcsolattartási címét.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importőr az elektromos vagy elektronikus berendezés forgalomba hozatalától számított tíz évig a műszaki dokumentációt és az EU-megfelelőségi nyilatkozatot megőrzi.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importőr más </w:t>
      </w:r>
      <w:proofErr w:type="spellStart"/>
      <w:r>
        <w:rPr>
          <w:rFonts w:ascii="Times New Roman" w:hAnsi="Times New Roman" w:cs="Times New Roman"/>
          <w:sz w:val="20"/>
          <w:szCs w:val="20"/>
        </w:rPr>
        <w:t>EGT-állam</w:t>
      </w:r>
      <w:proofErr w:type="spellEnd"/>
      <w:r>
        <w:rPr>
          <w:rFonts w:ascii="Times New Roman" w:hAnsi="Times New Roman" w:cs="Times New Roman"/>
          <w:sz w:val="20"/>
          <w:szCs w:val="20"/>
        </w:rPr>
        <w:t xml:space="preserve"> hatáskörrel rendelkező nemzeti hatóságának a piacfelügyeleti hatóság által közvetített indokolt kérésére átadja az elektromos és elektronikus berendezés e rendeletnek való megfelelőségének igazolásához szükséges összes információt és dokumentációt magyar, vagy – amennyiben </w:t>
      </w:r>
      <w:r>
        <w:rPr>
          <w:rFonts w:ascii="Times New Roman" w:hAnsi="Times New Roman" w:cs="Times New Roman"/>
          <w:sz w:val="20"/>
          <w:szCs w:val="20"/>
        </w:rPr>
        <w:lastRenderedPageBreak/>
        <w:t>rendelkezésre áll – a hatóság által kért egyéb nyelven, és együttműködik az általa forgalomba hozott elektromos vagy elektronikus berendezés e rendeletnek való megfelelést biztosító intézkedésekben.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9. A forgalmazó kötelezettsége</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 §</w:t>
      </w:r>
      <w:r>
        <w:rPr>
          <w:rFonts w:ascii="Times New Roman" w:hAnsi="Times New Roman" w:cs="Times New Roman"/>
          <w:sz w:val="20"/>
          <w:szCs w:val="20"/>
        </w:rPr>
        <w:t xml:space="preserve"> (1) A forgalmazó az elektromos és elektronikus berendezést </w:t>
      </w:r>
      <w:proofErr w:type="spellStart"/>
      <w:r>
        <w:rPr>
          <w:rFonts w:ascii="Times New Roman" w:hAnsi="Times New Roman" w:cs="Times New Roman"/>
          <w:sz w:val="20"/>
          <w:szCs w:val="20"/>
        </w:rPr>
        <w:t>CE-jelöléssel</w:t>
      </w:r>
      <w:proofErr w:type="spellEnd"/>
      <w:r>
        <w:rPr>
          <w:rFonts w:ascii="Times New Roman" w:hAnsi="Times New Roman" w:cs="Times New Roman"/>
          <w:sz w:val="20"/>
          <w:szCs w:val="20"/>
        </w:rPr>
        <w:t xml:space="preserve"> a hozzá tartozó, magyar nyelvű szükséges dokumentumokkal, továbbá a 6. § (7) és (8) bekezdésében, illetve a 8. § (3) bekezdésében megkövetelt adatok feltüntetésével teheti elérhetővé a piacon.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forgalmazó az olyan elektromos és elektronikus berendezés esetében, amely kapcsán megállapítja vagy valószínűsíti, hogy az nem felel meg az e rendelet által támasztott követelményeknek, azt mindaddig nem forgalmazhatja, amíg nem felel meg e rendelet szerinti előírásoknak. A forgalmazó intézkedéséről tájékoztatja a gyártót, az importőrt, valamint a piacfelügyeleti hatóságot. A 6. § (9) bekezdés szerinti előírások a forgalmazó esetében is alkalmazandóak.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forgalmazó más </w:t>
      </w:r>
      <w:proofErr w:type="spellStart"/>
      <w:r>
        <w:rPr>
          <w:rFonts w:ascii="Times New Roman" w:hAnsi="Times New Roman" w:cs="Times New Roman"/>
          <w:sz w:val="20"/>
          <w:szCs w:val="20"/>
        </w:rPr>
        <w:t>EGT-állam</w:t>
      </w:r>
      <w:proofErr w:type="spellEnd"/>
      <w:r>
        <w:rPr>
          <w:rFonts w:ascii="Times New Roman" w:hAnsi="Times New Roman" w:cs="Times New Roman"/>
          <w:sz w:val="20"/>
          <w:szCs w:val="20"/>
        </w:rPr>
        <w:t xml:space="preserve"> hatáskörrel rendelkező nemzeti hatóságának a piacfelügyeleti hatóság által közvetített, indokolt kérésére átadja az elektromos és elektronikus berendezés e rendeletnek való megfelelőségének igazolásához szükséges összes információt és dokumentációt magyar, vagy – amennyiben rendelkezésre áll – a hatóság által kért egyéb nyelven, és együttműködik az általa forgalmazott elektromos vagy elektronikus berendezés e rendeletnek való megfelelést biztosító intézkedésekben.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10. A gyártói kötelezettség átszállása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10. §</w:t>
      </w:r>
      <w:r>
        <w:rPr>
          <w:rFonts w:ascii="Times New Roman" w:hAnsi="Times New Roman" w:cs="Times New Roman"/>
          <w:sz w:val="20"/>
          <w:szCs w:val="20"/>
        </w:rPr>
        <w:t xml:space="preserve"> Amennyiben az elektromos és elektronikus berendezést az importőr vagy a forgalmazó saját neve, védjegye vagy kereskedelmi neve alatt hozza forgalomba vagy forgalmazza, vagy az elektromos és elektronikus berendezésen olyan módosítást hajt végre, amely az elektromos és elektronikus berendezés biztonsági és megfelelőségi jellemzőit befolyásolja, úgy gyártónak kell tekinteni, és a gyártóra vonatkozó kötelezettségek terhelik.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11. A gazdasági szereplők azonosítása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11. §</w:t>
      </w:r>
      <w:r>
        <w:rPr>
          <w:rFonts w:ascii="Times New Roman" w:hAnsi="Times New Roman" w:cs="Times New Roman"/>
          <w:sz w:val="20"/>
          <w:szCs w:val="20"/>
        </w:rPr>
        <w:t xml:space="preserve"> A gazdasági szereplő az elektromos és elektronikus berendezés forgalomba hozatalától számított tíz évig köteles megőrizni azon gazdasági </w:t>
      </w:r>
      <w:proofErr w:type="gramStart"/>
      <w:r>
        <w:rPr>
          <w:rFonts w:ascii="Times New Roman" w:hAnsi="Times New Roman" w:cs="Times New Roman"/>
          <w:sz w:val="20"/>
          <w:szCs w:val="20"/>
        </w:rPr>
        <w:t>szereplő azonosító</w:t>
      </w:r>
      <w:proofErr w:type="gramEnd"/>
      <w:r>
        <w:rPr>
          <w:rFonts w:ascii="Times New Roman" w:hAnsi="Times New Roman" w:cs="Times New Roman"/>
          <w:sz w:val="20"/>
          <w:szCs w:val="20"/>
        </w:rPr>
        <w:t xml:space="preserve"> adatait, amelytől elektromos és elektronikus berendezést szerzett be, vagy amelyet azzal látott el.</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12. Az Európai Unió követelményeinek való megfelelőség igazolása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12. §</w:t>
      </w:r>
      <w:r>
        <w:rPr>
          <w:rFonts w:ascii="Times New Roman" w:hAnsi="Times New Roman" w:cs="Times New Roman"/>
          <w:sz w:val="20"/>
          <w:szCs w:val="20"/>
        </w:rPr>
        <w:t xml:space="preserve"> (1) A gyártó az elektromos és elektronikus berendezés e rendeletben foglalt veszélyes anyag követelmények szerinti megfelelőségét EU-megfelelőségi nyilatkozat kiállításával igazolja, melynek tartalmáért felelősséget vállal.</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gyártó által kiállított EU-megfelelőségi nyilatkozat igazolja, hogy az elektromos és elektronikus berendezés megfelel az e rendelet szerinti veszélyes anyag követelményeknek.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EU-megfelelőségi nyilatkozatot a 6. melléklet szerinti szerkezetminta és elemek szerint, magyar nyelven kell kiállítani és naprakészen tartani.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13. A </w:t>
      </w:r>
      <w:proofErr w:type="spellStart"/>
      <w:r>
        <w:rPr>
          <w:rFonts w:ascii="Times New Roman" w:hAnsi="Times New Roman" w:cs="Times New Roman"/>
          <w:b/>
          <w:bCs/>
          <w:sz w:val="20"/>
          <w:szCs w:val="20"/>
        </w:rPr>
        <w:t>CE-jelölés</w:t>
      </w:r>
      <w:proofErr w:type="spellEnd"/>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13. §</w:t>
      </w:r>
      <w:r>
        <w:rPr>
          <w:rFonts w:ascii="Times New Roman" w:hAnsi="Times New Roman" w:cs="Times New Roman"/>
          <w:sz w:val="20"/>
          <w:szCs w:val="20"/>
        </w:rPr>
        <w:t xml:space="preserve"> (1) A </w:t>
      </w:r>
      <w:proofErr w:type="spellStart"/>
      <w:r>
        <w:rPr>
          <w:rFonts w:ascii="Times New Roman" w:hAnsi="Times New Roman" w:cs="Times New Roman"/>
          <w:sz w:val="20"/>
          <w:szCs w:val="20"/>
        </w:rPr>
        <w:t>CE-jelölésnek</w:t>
      </w:r>
      <w:proofErr w:type="spellEnd"/>
      <w:r>
        <w:rPr>
          <w:rFonts w:ascii="Times New Roman" w:hAnsi="Times New Roman" w:cs="Times New Roman"/>
          <w:sz w:val="20"/>
          <w:szCs w:val="20"/>
        </w:rPr>
        <w:t xml:space="preserve"> a termékek forgalmazása tekintetében az akkreditálás és piacfelügyelet előírásainak megállapításáról és a 339/93/EGK rendelet hatályon kívül helyezéséről szóló, 2008. július 9-i 765/2008/EK európai parlamenti és tanácsi rendelet 30. cikkében meghatározott általános elveknek meg kell felelnie.</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w:t>
      </w:r>
      <w:proofErr w:type="spellStart"/>
      <w:r>
        <w:rPr>
          <w:rFonts w:ascii="Times New Roman" w:hAnsi="Times New Roman" w:cs="Times New Roman"/>
          <w:sz w:val="20"/>
          <w:szCs w:val="20"/>
        </w:rPr>
        <w:t>CE-jelölést</w:t>
      </w:r>
      <w:proofErr w:type="spellEnd"/>
      <w:r>
        <w:rPr>
          <w:rFonts w:ascii="Times New Roman" w:hAnsi="Times New Roman" w:cs="Times New Roman"/>
          <w:sz w:val="20"/>
          <w:szCs w:val="20"/>
        </w:rPr>
        <w:t xml:space="preserve"> a készterméken vagy annak adattábláján jól láthatóan, olvashatóan és letörölhetetlenül kell elhelyezni. Ha az elektromos vagy elektronikus berendezés jellege miatt ez lehetetlen vagy indokolatlan volna, akkor a jelölést a csomagoláson, valamint a kísérő dokumentumokban kell feltüntetni.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w:t>
      </w:r>
      <w:proofErr w:type="spellStart"/>
      <w:r>
        <w:rPr>
          <w:rFonts w:ascii="Times New Roman" w:hAnsi="Times New Roman" w:cs="Times New Roman"/>
          <w:sz w:val="20"/>
          <w:szCs w:val="20"/>
        </w:rPr>
        <w:t>CE-jelölést</w:t>
      </w:r>
      <w:proofErr w:type="spellEnd"/>
      <w:r>
        <w:rPr>
          <w:rFonts w:ascii="Times New Roman" w:hAnsi="Times New Roman" w:cs="Times New Roman"/>
          <w:sz w:val="20"/>
          <w:szCs w:val="20"/>
        </w:rPr>
        <w:t xml:space="preserve"> még az elektromos vagy elektronikus berendezés forgalomba hozatala előtt kell a terméken elhelyezni.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(4) A </w:t>
      </w:r>
      <w:proofErr w:type="spellStart"/>
      <w:r>
        <w:rPr>
          <w:rFonts w:ascii="Times New Roman" w:hAnsi="Times New Roman" w:cs="Times New Roman"/>
          <w:sz w:val="20"/>
          <w:szCs w:val="20"/>
        </w:rPr>
        <w:t>CE-jelöléssel</w:t>
      </w:r>
      <w:proofErr w:type="spellEnd"/>
      <w:r>
        <w:rPr>
          <w:rFonts w:ascii="Times New Roman" w:hAnsi="Times New Roman" w:cs="Times New Roman"/>
          <w:sz w:val="20"/>
          <w:szCs w:val="20"/>
        </w:rPr>
        <w:t xml:space="preserve"> ellátott elektromos vagy elektronikus berendezések e rendeletnek való megfelelőségét az ellenkező bizonyításig vélelmezni kell.</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Azokról az anyagokról, alkotóelemekről és elektromos és elektronikus berendezésekről, amelyeken e rendelet szerinti veszélyes anyag követelményeinek való megfelelés bizonyítására végeztek teszteket és méréseket, vagy amelyeket olyan harmonizált szabványokkal összhangban értékeltek, amelyek hivatkozását közzétették az Európai Unió Hivatalos Lapjában, vélelmezni kell, hogy megfelelnek az előírt követelményeknek.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környezetvédelemért felelős miniszter az Európai Bizottságnál kezdeményezheti e rendelet veszélyes anyag tartalmára vonatkozó harmonizált szabvány felülvizsgálatát.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14. Ellenőrzés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14. §</w:t>
      </w:r>
      <w:r>
        <w:rPr>
          <w:rFonts w:ascii="Times New Roman" w:hAnsi="Times New Roman" w:cs="Times New Roman"/>
          <w:sz w:val="20"/>
          <w:szCs w:val="20"/>
        </w:rPr>
        <w:t xml:space="preserve"> (1) Az e rendeletben foglalt veszélyes anyag követelmények betartását a 7. melléklet szerinti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1–7. termékcsoport esetében a fogyasztóvédelmi hatóság,</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8. termékcsoport esetében az Egészségügyi Engedélyezési és Közigazgatási Hivatal,</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9–10. termékcsoport esetében a Magyar Kereskedelmi Engedélyezési Hivatal kereskedelmi és piacfelügyeleti hatósága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(az </w:t>
      </w:r>
      <w:r>
        <w:rPr>
          <w:rFonts w:ascii="Times New Roman" w:hAnsi="Times New Roman" w:cs="Times New Roman"/>
          <w:i/>
          <w:iCs/>
          <w:sz w:val="20"/>
          <w:szCs w:val="20"/>
        </w:rPr>
        <w:t>a)–c)</w:t>
      </w:r>
      <w:r>
        <w:rPr>
          <w:rFonts w:ascii="Times New Roman" w:hAnsi="Times New Roman" w:cs="Times New Roman"/>
          <w:sz w:val="20"/>
          <w:szCs w:val="20"/>
        </w:rPr>
        <w:t xml:space="preserve"> pont szerinti hatóságok a továbbiakban együtt: piacfelügyeleti hatóság) ellenőrzi.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piacfelügyeleti hatóság a 7. melléklet szerinti 11. termékcsoport esetén a feladat- és hatásköréről szóló jogszabályban meghatározott esetekben végzi az e termékcsoportba tartozó berendezések ellenőrzését.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piacfelügyeleti hatóság a termékek piacfelügyeletéről szóló törvény szerinti ellenőrzést folytat le, és az abban meghatározott jogkövetkezményeket alkalmazza.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15. Záró rendelkezések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15. §</w:t>
      </w:r>
      <w:r>
        <w:rPr>
          <w:rFonts w:ascii="Times New Roman" w:hAnsi="Times New Roman" w:cs="Times New Roman"/>
          <w:sz w:val="20"/>
          <w:szCs w:val="20"/>
        </w:rPr>
        <w:t xml:space="preserve"> (1) Ez a rendelet 2013. január 3-án lép hatályba.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3. § (1) bekezdésében előírt forgalmazási korlátozást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2014. július 22-től forgalomba hozott orvostechnikai eszközre, felügyeleti és vezérlő eszközre,</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2016. július 22-től forgalomba hozott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vitro diagnosztikai orvostechnikai eszközre és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2017. július 22-től forgalomba hozott ipari felügyeleti és vezérlő eszközre</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kell</w:t>
      </w:r>
      <w:proofErr w:type="gramEnd"/>
      <w:r>
        <w:rPr>
          <w:rFonts w:ascii="Times New Roman" w:hAnsi="Times New Roman" w:cs="Times New Roman"/>
          <w:sz w:val="20"/>
          <w:szCs w:val="20"/>
        </w:rPr>
        <w:t xml:space="preserve"> alkalmazni.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3. § (1) bekezdésében előírt forgalmazási korlátozás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2006. június 30-ig forgalomba hozott elektromos és elektronikus berendezés,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2014. július 21-ig forgalomba hozott orvostechnikai eszköz,</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2014. július 21-ig forgalomba hozott felügyeleti és vezérlő eszköz,</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2016. július 21-ig forgalomba hozott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vitro diagnosztikai orvostechnikai eszköz, a 2017. július 21-ig forgalomba hozott ipari felügyeleti és vezérlő eszköz és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egyes veszélyes anyagok elektromos és elektronikai berendezésekben való alkalmazásának korlátozásáról szóló 16/2004. (X. 8.) </w:t>
      </w:r>
      <w:proofErr w:type="spellStart"/>
      <w:r>
        <w:rPr>
          <w:rFonts w:ascii="Times New Roman" w:hAnsi="Times New Roman" w:cs="Times New Roman"/>
          <w:sz w:val="20"/>
          <w:szCs w:val="20"/>
        </w:rPr>
        <w:t>KvVM</w:t>
      </w:r>
      <w:proofErr w:type="spellEnd"/>
      <w:r>
        <w:rPr>
          <w:rFonts w:ascii="Times New Roman" w:hAnsi="Times New Roman" w:cs="Times New Roman"/>
          <w:sz w:val="20"/>
          <w:szCs w:val="20"/>
        </w:rPr>
        <w:t xml:space="preserve"> rendelet által biztosított forgalomba hozatali mentesség hatálya alá tartozó elektromos és elektronikus berendezés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javításához</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újrahasználatához</w:t>
      </w:r>
      <w:proofErr w:type="spellEnd"/>
      <w:r>
        <w:rPr>
          <w:rFonts w:ascii="Times New Roman" w:hAnsi="Times New Roman" w:cs="Times New Roman"/>
          <w:sz w:val="20"/>
          <w:szCs w:val="20"/>
        </w:rPr>
        <w:t>, működésének megújításához vagy teljesítménye javításához felhasznált kábelekre vagy cserealkatrészekre nem alkalmazható.</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újrahasznált cserealkatrészekre, amelyeket 2006. július 1-jét megelőzően forgalomba hozott elektromos és elektronikus berendezésből nyertek, és 2016. június 30-ig forgalomba hozott elektromos és elektronikus berendezésben használnak, ha az újrafelhasználásra vállalatok közötti, ellenőrizhető zárt csererendszereken belül kerül sor, valamint az alkatrészek újrafelhasználásáról értesítik a fogyasztót, a 3. § (1) bekezdésében előírt forgalmazási korlátozás nem alkalmazható. A gyártó e bekezdés szerinti előírásoknak való megfelelést igazolni köteles.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3. § (1) bekezdése szerinti forgalmazási korlátozás azon elektromos és elektronikus berendezések esetében, amelyek nem tartoztak az egyes veszélyes anyagok elektromos és elektronikai berendezésekben való alkalmazásának korlátozásáról szóló 16/2004. (X. 8.) </w:t>
      </w:r>
      <w:proofErr w:type="spellStart"/>
      <w:r>
        <w:rPr>
          <w:rFonts w:ascii="Times New Roman" w:hAnsi="Times New Roman" w:cs="Times New Roman"/>
          <w:sz w:val="20"/>
          <w:szCs w:val="20"/>
        </w:rPr>
        <w:t>KvVM</w:t>
      </w:r>
      <w:proofErr w:type="spellEnd"/>
      <w:r>
        <w:rPr>
          <w:rFonts w:ascii="Times New Roman" w:hAnsi="Times New Roman" w:cs="Times New Roman"/>
          <w:sz w:val="20"/>
          <w:szCs w:val="20"/>
        </w:rPr>
        <w:t xml:space="preserve"> rendelet hatálya alá, 2019. július 23-tól alkalmazandó.</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16. §</w:t>
      </w:r>
      <w:r>
        <w:rPr>
          <w:rFonts w:ascii="Times New Roman" w:hAnsi="Times New Roman" w:cs="Times New Roman"/>
          <w:sz w:val="20"/>
          <w:szCs w:val="20"/>
        </w:rPr>
        <w:t xml:space="preserve"> Ez a rendelet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egyes veszélyes anyagok elektromos és elektronikus berendezésekben való alkalmazásának korlátozásáról szóló, 2011. június 8-i 2011/65/EU európai parlamenti és tanácsi irányelvnek;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műszaki fejlődéshez történő hozzáigazítás érdekében a 2002/95/EK európai parlamenti és tanácsi irányelv mellékletének az ólmot, illetve kadmiumot tartalmazó alkalmazások </w:t>
      </w:r>
      <w:proofErr w:type="gramStart"/>
      <w:r>
        <w:rPr>
          <w:rFonts w:ascii="Times New Roman" w:hAnsi="Times New Roman" w:cs="Times New Roman"/>
          <w:sz w:val="20"/>
          <w:szCs w:val="20"/>
        </w:rPr>
        <w:t>mentesítése</w:t>
      </w:r>
      <w:proofErr w:type="gramEnd"/>
      <w:r>
        <w:rPr>
          <w:rFonts w:ascii="Times New Roman" w:hAnsi="Times New Roman" w:cs="Times New Roman"/>
          <w:sz w:val="20"/>
          <w:szCs w:val="20"/>
        </w:rPr>
        <w:t xml:space="preserve"> tekintetében történő módosításáról szóló, 2011. szeptember 8-i 2011/534/EU bizottsági határozatnak</w:t>
      </w:r>
    </w:p>
    <w:p w:rsidR="0086455B" w:rsidRDefault="0086455B" w:rsidP="0086455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való</w:t>
      </w:r>
      <w:proofErr w:type="gramEnd"/>
      <w:r>
        <w:rPr>
          <w:rFonts w:ascii="Times New Roman" w:hAnsi="Times New Roman" w:cs="Times New Roman"/>
          <w:sz w:val="20"/>
          <w:szCs w:val="20"/>
        </w:rPr>
        <w:t xml:space="preserve"> megfelelést szolgálja.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17. §</w:t>
      </w:r>
      <w:r>
        <w:rPr>
          <w:rFonts w:ascii="Times New Roman" w:hAnsi="Times New Roman" w:cs="Times New Roman"/>
          <w:sz w:val="20"/>
          <w:szCs w:val="20"/>
        </w:rPr>
        <w:t xml:space="preserve"> Hatályát veszti az egyes veszélyes anyagok elektromos és elektronikai berendezésekben való alkalmazásának korlátozásáról szóló 16/2004. (X. 8.) </w:t>
      </w:r>
      <w:proofErr w:type="spellStart"/>
      <w:r>
        <w:rPr>
          <w:rFonts w:ascii="Times New Roman" w:hAnsi="Times New Roman" w:cs="Times New Roman"/>
          <w:sz w:val="20"/>
          <w:szCs w:val="20"/>
        </w:rPr>
        <w:t>KvVM</w:t>
      </w:r>
      <w:proofErr w:type="spellEnd"/>
      <w:r>
        <w:rPr>
          <w:rFonts w:ascii="Times New Roman" w:hAnsi="Times New Roman" w:cs="Times New Roman"/>
          <w:sz w:val="20"/>
          <w:szCs w:val="20"/>
        </w:rPr>
        <w:t xml:space="preserve"> rendelet.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 melléklet a 374/2012. (XII. 18.) Korm. rendelethez</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Az elektromos és elektronikus berendezésekben alkalmazható veszélyes anyagok és azok megengedett legnagyobb mennyisége</w:t>
      </w:r>
    </w:p>
    <w:p w:rsidR="0086455B" w:rsidRDefault="0086455B" w:rsidP="0086455B">
      <w:pPr>
        <w:widowControl w:val="0"/>
        <w:autoSpaceDE w:val="0"/>
        <w:autoSpaceDN w:val="0"/>
        <w:adjustRightInd w:val="0"/>
        <w:spacing w:after="0" w:line="240" w:lineRule="auto"/>
        <w:rPr>
          <w:rFonts w:ascii="Times New Roman" w:hAnsi="Times New Roman" w:cs="Times New Roman"/>
          <w:sz w:val="20"/>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tblPr>
      <w:tblGrid>
        <w:gridCol w:w="638"/>
        <w:gridCol w:w="4805"/>
        <w:gridCol w:w="4806"/>
      </w:tblGrid>
      <w:tr w:rsidR="0086455B">
        <w:tblPrEx>
          <w:tblCellMar>
            <w:top w:w="0" w:type="dxa"/>
            <w:bottom w:w="0" w:type="dxa"/>
          </w:tblCellMar>
        </w:tblPrEx>
        <w:tc>
          <w:tcPr>
            <w:tcW w:w="638" w:type="dxa"/>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20"/>
                <w:szCs w:val="20"/>
              </w:rPr>
            </w:pPr>
          </w:p>
        </w:tc>
        <w:tc>
          <w:tcPr>
            <w:tcW w:w="4805" w:type="dxa"/>
            <w:vAlign w:val="center"/>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A</w:t>
            </w:r>
          </w:p>
        </w:tc>
        <w:tc>
          <w:tcPr>
            <w:tcW w:w="4806" w:type="dxa"/>
            <w:vAlign w:val="center"/>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B</w:t>
            </w:r>
          </w:p>
        </w:tc>
      </w:tr>
      <w:tr w:rsidR="0086455B">
        <w:tblPrEx>
          <w:tblCellMar>
            <w:top w:w="0" w:type="dxa"/>
            <w:bottom w:w="0" w:type="dxa"/>
          </w:tblCellMar>
        </w:tblPrEx>
        <w:tc>
          <w:tcPr>
            <w:tcW w:w="638" w:type="dxa"/>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805" w:type="dxa"/>
            <w:vAlign w:val="center"/>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Veszélyes anyag</w:t>
            </w:r>
          </w:p>
        </w:tc>
        <w:tc>
          <w:tcPr>
            <w:tcW w:w="4806" w:type="dxa"/>
            <w:vAlign w:val="center"/>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16"/>
                <w:szCs w:val="16"/>
              </w:rPr>
            </w:pPr>
            <w:r>
              <w:rPr>
                <w:rFonts w:ascii="Times New Roman" w:hAnsi="Times New Roman" w:cs="Times New Roman"/>
                <w:sz w:val="16"/>
                <w:szCs w:val="16"/>
              </w:rPr>
              <w:t>Legnagyobb megengedett tömegszázalék</w:t>
            </w:r>
          </w:p>
        </w:tc>
      </w:tr>
      <w:tr w:rsidR="0086455B">
        <w:tblPrEx>
          <w:tblCellMar>
            <w:top w:w="0" w:type="dxa"/>
            <w:bottom w:w="0" w:type="dxa"/>
          </w:tblCellMar>
        </w:tblPrEx>
        <w:tc>
          <w:tcPr>
            <w:tcW w:w="638" w:type="dxa"/>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805" w:type="dxa"/>
          </w:tcPr>
          <w:p w:rsidR="0086455B" w:rsidRDefault="0086455B">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Ólom</w:t>
            </w:r>
          </w:p>
        </w:tc>
        <w:tc>
          <w:tcPr>
            <w:tcW w:w="4806" w:type="dxa"/>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r>
      <w:tr w:rsidR="0086455B">
        <w:tblPrEx>
          <w:tblCellMar>
            <w:top w:w="0" w:type="dxa"/>
            <w:bottom w:w="0" w:type="dxa"/>
          </w:tblCellMar>
        </w:tblPrEx>
        <w:tc>
          <w:tcPr>
            <w:tcW w:w="638" w:type="dxa"/>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805" w:type="dxa"/>
          </w:tcPr>
          <w:p w:rsidR="0086455B" w:rsidRDefault="0086455B">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Higany</w:t>
            </w:r>
          </w:p>
        </w:tc>
        <w:tc>
          <w:tcPr>
            <w:tcW w:w="4806" w:type="dxa"/>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r>
      <w:tr w:rsidR="0086455B">
        <w:tblPrEx>
          <w:tblCellMar>
            <w:top w:w="0" w:type="dxa"/>
            <w:bottom w:w="0" w:type="dxa"/>
          </w:tblCellMar>
        </w:tblPrEx>
        <w:tc>
          <w:tcPr>
            <w:tcW w:w="638" w:type="dxa"/>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805" w:type="dxa"/>
          </w:tcPr>
          <w:p w:rsidR="0086455B" w:rsidRDefault="0086455B">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Kadmium</w:t>
            </w:r>
          </w:p>
        </w:tc>
        <w:tc>
          <w:tcPr>
            <w:tcW w:w="4806" w:type="dxa"/>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0,01</w:t>
            </w:r>
          </w:p>
        </w:tc>
      </w:tr>
      <w:tr w:rsidR="0086455B">
        <w:tblPrEx>
          <w:tblCellMar>
            <w:top w:w="0" w:type="dxa"/>
            <w:bottom w:w="0" w:type="dxa"/>
          </w:tblCellMar>
        </w:tblPrEx>
        <w:tc>
          <w:tcPr>
            <w:tcW w:w="638" w:type="dxa"/>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805" w:type="dxa"/>
          </w:tcPr>
          <w:p w:rsidR="0086455B" w:rsidRDefault="0086455B">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Hat vegyértékű króm</w:t>
            </w:r>
          </w:p>
        </w:tc>
        <w:tc>
          <w:tcPr>
            <w:tcW w:w="4806" w:type="dxa"/>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r>
      <w:tr w:rsidR="0086455B">
        <w:tblPrEx>
          <w:tblCellMar>
            <w:top w:w="0" w:type="dxa"/>
            <w:bottom w:w="0" w:type="dxa"/>
          </w:tblCellMar>
        </w:tblPrEx>
        <w:tc>
          <w:tcPr>
            <w:tcW w:w="638" w:type="dxa"/>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805" w:type="dxa"/>
          </w:tcPr>
          <w:p w:rsidR="0086455B" w:rsidRDefault="0086455B">
            <w:pPr>
              <w:widowControl w:val="0"/>
              <w:autoSpaceDE w:val="0"/>
              <w:autoSpaceDN w:val="0"/>
              <w:adjustRightInd w:val="0"/>
              <w:spacing w:before="40" w:after="20" w:line="240" w:lineRule="auto"/>
              <w:rPr>
                <w:rFonts w:ascii="Times New Roman" w:hAnsi="Times New Roman" w:cs="Times New Roman"/>
                <w:sz w:val="20"/>
                <w:szCs w:val="20"/>
              </w:rPr>
            </w:pPr>
            <w:proofErr w:type="spellStart"/>
            <w:r>
              <w:rPr>
                <w:rFonts w:ascii="Times New Roman" w:hAnsi="Times New Roman" w:cs="Times New Roman"/>
                <w:sz w:val="20"/>
                <w:szCs w:val="20"/>
              </w:rPr>
              <w:t>Polibrómozott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bifenilek</w:t>
            </w:r>
            <w:proofErr w:type="spellEnd"/>
            <w:r>
              <w:rPr>
                <w:rFonts w:ascii="Times New Roman" w:hAnsi="Times New Roman" w:cs="Times New Roman"/>
                <w:sz w:val="20"/>
                <w:szCs w:val="20"/>
              </w:rPr>
              <w:t xml:space="preserve"> (PBB)</w:t>
            </w:r>
          </w:p>
        </w:tc>
        <w:tc>
          <w:tcPr>
            <w:tcW w:w="4806" w:type="dxa"/>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r>
      <w:tr w:rsidR="0086455B">
        <w:tblPrEx>
          <w:tblCellMar>
            <w:top w:w="0" w:type="dxa"/>
            <w:bottom w:w="0" w:type="dxa"/>
          </w:tblCellMar>
        </w:tblPrEx>
        <w:tc>
          <w:tcPr>
            <w:tcW w:w="638" w:type="dxa"/>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805" w:type="dxa"/>
          </w:tcPr>
          <w:p w:rsidR="0086455B" w:rsidRDefault="0086455B">
            <w:pPr>
              <w:widowControl w:val="0"/>
              <w:autoSpaceDE w:val="0"/>
              <w:autoSpaceDN w:val="0"/>
              <w:adjustRightInd w:val="0"/>
              <w:spacing w:before="40" w:after="20" w:line="240" w:lineRule="auto"/>
              <w:rPr>
                <w:rFonts w:ascii="Times New Roman" w:hAnsi="Times New Roman" w:cs="Times New Roman"/>
                <w:sz w:val="20"/>
                <w:szCs w:val="20"/>
              </w:rPr>
            </w:pPr>
            <w:proofErr w:type="spellStart"/>
            <w:r>
              <w:rPr>
                <w:rFonts w:ascii="Times New Roman" w:hAnsi="Times New Roman" w:cs="Times New Roman"/>
                <w:sz w:val="20"/>
                <w:szCs w:val="20"/>
              </w:rPr>
              <w:t>Polibrómozott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difenil-éterek</w:t>
            </w:r>
            <w:proofErr w:type="spellEnd"/>
            <w:r>
              <w:rPr>
                <w:rFonts w:ascii="Times New Roman" w:hAnsi="Times New Roman" w:cs="Times New Roman"/>
                <w:sz w:val="20"/>
                <w:szCs w:val="20"/>
              </w:rPr>
              <w:t xml:space="preserve"> (PBDE)</w:t>
            </w:r>
          </w:p>
        </w:tc>
        <w:tc>
          <w:tcPr>
            <w:tcW w:w="4806" w:type="dxa"/>
          </w:tcPr>
          <w:p w:rsidR="0086455B" w:rsidRDefault="0086455B">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0,1</w:t>
            </w:r>
          </w:p>
        </w:tc>
      </w:tr>
    </w:tbl>
    <w:p w:rsidR="0086455B" w:rsidRDefault="0086455B" w:rsidP="0086455B">
      <w:pPr>
        <w:autoSpaceDE w:val="0"/>
        <w:autoSpaceDN w:val="0"/>
        <w:adjustRightInd w:val="0"/>
        <w:spacing w:after="0" w:line="240" w:lineRule="auto"/>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 melléklet a 374/2012. (XII. 18.) Korm. rendelethez</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widowControl w:val="0"/>
        <w:autoSpaceDE w:val="0"/>
        <w:autoSpaceDN w:val="0"/>
        <w:adjustRightInd w:val="0"/>
        <w:spacing w:after="0" w:line="240" w:lineRule="auto"/>
        <w:rPr>
          <w:rFonts w:ascii="Times New Roman" w:hAnsi="Times New Roman" w:cs="Times New Roman"/>
          <w:sz w:val="20"/>
          <w:szCs w:val="20"/>
        </w:rPr>
      </w:pPr>
    </w:p>
    <w:p w:rsidR="0086455B" w:rsidRDefault="0086455B" w:rsidP="0086455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veszélyes anyagok alkalmazása alóli mentességek</w:t>
      </w:r>
    </w:p>
    <w:p w:rsidR="0086455B" w:rsidRDefault="0086455B" w:rsidP="0086455B">
      <w:pPr>
        <w:autoSpaceDE w:val="0"/>
        <w:autoSpaceDN w:val="0"/>
        <w:adjustRightInd w:val="0"/>
        <w:spacing w:after="0" w:line="240" w:lineRule="auto"/>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tblPr>
      <w:tblGrid>
        <w:gridCol w:w="497"/>
        <w:gridCol w:w="15"/>
        <w:gridCol w:w="3081"/>
        <w:gridCol w:w="142"/>
        <w:gridCol w:w="1800"/>
        <w:gridCol w:w="29"/>
        <w:gridCol w:w="37"/>
        <w:gridCol w:w="16"/>
        <w:gridCol w:w="62"/>
        <w:gridCol w:w="17"/>
        <w:gridCol w:w="27"/>
        <w:gridCol w:w="1452"/>
        <w:gridCol w:w="120"/>
        <w:gridCol w:w="10"/>
        <w:gridCol w:w="155"/>
        <w:gridCol w:w="2837"/>
      </w:tblGrid>
      <w:tr w:rsidR="0086455B">
        <w:tblPrEx>
          <w:tblCellMar>
            <w:top w:w="0" w:type="dxa"/>
            <w:bottom w:w="0" w:type="dxa"/>
          </w:tblCellMar>
        </w:tblPrEx>
        <w:tc>
          <w:tcPr>
            <w:tcW w:w="497" w:type="dxa"/>
            <w:tcBorders>
              <w:top w:val="single" w:sz="4" w:space="0" w:color="auto"/>
            </w:tcBorders>
          </w:tcPr>
          <w:p w:rsidR="0086455B" w:rsidRDefault="0086455B">
            <w:pPr>
              <w:autoSpaceDE w:val="0"/>
              <w:autoSpaceDN w:val="0"/>
              <w:adjustRightInd w:val="0"/>
              <w:spacing w:before="40" w:after="20" w:line="240" w:lineRule="auto"/>
              <w:ind w:left="360"/>
              <w:rPr>
                <w:rFonts w:ascii="Times New Roman" w:hAnsi="Times New Roman" w:cs="Times New Roman"/>
                <w:sz w:val="20"/>
                <w:szCs w:val="20"/>
              </w:rPr>
            </w:pPr>
          </w:p>
        </w:tc>
        <w:tc>
          <w:tcPr>
            <w:tcW w:w="3237" w:type="dxa"/>
            <w:gridSpan w:val="3"/>
            <w:tcBorders>
              <w:top w:val="single" w:sz="4" w:space="0" w:color="auto"/>
            </w:tcBorders>
          </w:tcPr>
          <w:p w:rsidR="0086455B" w:rsidRDefault="0086455B">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1988" w:type="dxa"/>
            <w:gridSpan w:val="7"/>
            <w:tcBorders>
              <w:top w:val="single" w:sz="4" w:space="0" w:color="auto"/>
            </w:tcBorders>
          </w:tcPr>
          <w:p w:rsidR="0086455B" w:rsidRDefault="0086455B">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1449" w:type="dxa"/>
            <w:tcBorders>
              <w:top w:val="single" w:sz="4" w:space="0" w:color="auto"/>
            </w:tcBorders>
          </w:tcPr>
          <w:p w:rsidR="0086455B" w:rsidRDefault="0086455B">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3120" w:type="dxa"/>
            <w:gridSpan w:val="4"/>
            <w:tcBorders>
              <w:top w:val="single" w:sz="4" w:space="0" w:color="auto"/>
            </w:tcBorders>
          </w:tcPr>
          <w:p w:rsidR="0086455B" w:rsidRDefault="0086455B">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p>
        </w:tc>
      </w:tr>
      <w:tr w:rsidR="0086455B">
        <w:tblPrEx>
          <w:tblCellMar>
            <w:top w:w="0" w:type="dxa"/>
            <w:bottom w:w="0" w:type="dxa"/>
          </w:tblCellMar>
        </w:tblPrEx>
        <w:tc>
          <w:tcPr>
            <w:tcW w:w="497"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w:t>
            </w:r>
          </w:p>
        </w:tc>
        <w:tc>
          <w:tcPr>
            <w:tcW w:w="9794" w:type="dxa"/>
            <w:gridSpan w:val="15"/>
          </w:tcPr>
          <w:p w:rsidR="0086455B" w:rsidRDefault="0086455B">
            <w:pPr>
              <w:autoSpaceDE w:val="0"/>
              <w:autoSpaceDN w:val="0"/>
              <w:adjustRightInd w:val="0"/>
              <w:spacing w:before="40" w:after="2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I. HIGANYTARTALOMRA VONATKOZÓ MENTESSÉGEK</w:t>
            </w:r>
          </w:p>
        </w:tc>
      </w:tr>
      <w:tr w:rsidR="0086455B">
        <w:tblPrEx>
          <w:tblCellMar>
            <w:top w:w="0" w:type="dxa"/>
            <w:bottom w:w="0" w:type="dxa"/>
          </w:tblCellMar>
        </w:tblPrEx>
        <w:tc>
          <w:tcPr>
            <w:tcW w:w="497"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2.</w:t>
            </w:r>
          </w:p>
        </w:tc>
        <w:tc>
          <w:tcPr>
            <w:tcW w:w="9794" w:type="dxa"/>
            <w:gridSpan w:val="15"/>
          </w:tcPr>
          <w:p w:rsidR="0086455B" w:rsidRDefault="0086455B">
            <w:pPr>
              <w:autoSpaceDE w:val="0"/>
              <w:autoSpaceDN w:val="0"/>
              <w:adjustRightInd w:val="0"/>
              <w:spacing w:before="40" w:after="20" w:line="240" w:lineRule="auto"/>
              <w:ind w:left="300" w:hanging="300"/>
              <w:rPr>
                <w:rFonts w:ascii="Times New Roman" w:hAnsi="Times New Roman" w:cs="Times New Roman"/>
                <w:b/>
                <w:bCs/>
                <w:color w:val="000000"/>
                <w:sz w:val="20"/>
                <w:szCs w:val="20"/>
              </w:rPr>
            </w:pPr>
            <w:r>
              <w:rPr>
                <w:rFonts w:ascii="Times New Roman" w:hAnsi="Times New Roman" w:cs="Times New Roman"/>
                <w:b/>
                <w:bCs/>
                <w:color w:val="000000"/>
                <w:sz w:val="20"/>
                <w:szCs w:val="20"/>
              </w:rPr>
              <w:t>a)</w:t>
            </w:r>
            <w:r>
              <w:rPr>
                <w:rFonts w:ascii="Times New Roman" w:hAnsi="Times New Roman" w:cs="Times New Roman"/>
                <w:b/>
                <w:bCs/>
                <w:color w:val="000000"/>
                <w:sz w:val="20"/>
                <w:szCs w:val="20"/>
              </w:rPr>
              <w:tab/>
              <w:t xml:space="preserve">Egy végükön fejelt (kompakt) fénycsövekben használt higany, amelynek megengedett mennyisége (égőnként): </w:t>
            </w:r>
          </w:p>
        </w:tc>
      </w:tr>
      <w:tr w:rsidR="0086455B">
        <w:tblPrEx>
          <w:tblCellMar>
            <w:top w:w="0" w:type="dxa"/>
            <w:bottom w:w="0" w:type="dxa"/>
          </w:tblCellMar>
        </w:tblPrEx>
        <w:tc>
          <w:tcPr>
            <w:tcW w:w="497"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w:t>
            </w:r>
          </w:p>
        </w:tc>
        <w:tc>
          <w:tcPr>
            <w:tcW w:w="3237" w:type="dxa"/>
            <w:gridSpan w:val="3"/>
          </w:tcPr>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Típus</w:t>
            </w:r>
          </w:p>
        </w:tc>
        <w:tc>
          <w:tcPr>
            <w:tcW w:w="1988" w:type="dxa"/>
            <w:gridSpan w:val="7"/>
          </w:tcPr>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p>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Teljesítmény</w:t>
            </w:r>
          </w:p>
          <w:p w:rsidR="0086455B" w:rsidRDefault="0086455B">
            <w:pPr>
              <w:autoSpaceDE w:val="0"/>
              <w:autoSpaceDN w:val="0"/>
              <w:adjustRightInd w:val="0"/>
              <w:spacing w:before="40" w:after="2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w:t>
            </w:r>
          </w:p>
        </w:tc>
        <w:tc>
          <w:tcPr>
            <w:tcW w:w="1732" w:type="dxa"/>
            <w:gridSpan w:val="4"/>
          </w:tcPr>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Maximális megengedett koncentráció</w:t>
            </w:r>
          </w:p>
        </w:tc>
        <w:tc>
          <w:tcPr>
            <w:tcW w:w="2837" w:type="dxa"/>
            <w:vAlign w:val="center"/>
          </w:tcPr>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mentesség határideje</w:t>
            </w:r>
          </w:p>
        </w:tc>
      </w:tr>
      <w:tr w:rsidR="0086455B">
        <w:tblPrEx>
          <w:tblCellMar>
            <w:top w:w="0" w:type="dxa"/>
            <w:bottom w:w="0" w:type="dxa"/>
          </w:tblCellMar>
        </w:tblPrEx>
        <w:trPr>
          <w:cantSplit/>
          <w:trHeight w:val="392"/>
        </w:trPr>
        <w:tc>
          <w:tcPr>
            <w:tcW w:w="497"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4.</w:t>
            </w:r>
          </w:p>
        </w:tc>
        <w:tc>
          <w:tcPr>
            <w:tcW w:w="3237" w:type="dxa"/>
            <w:gridSpan w:val="3"/>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Általános világítási célra szolgáló fénycső</w:t>
            </w:r>
          </w:p>
        </w:tc>
        <w:tc>
          <w:tcPr>
            <w:tcW w:w="1988" w:type="dxa"/>
            <w:gridSpan w:val="7"/>
            <w:vMerge w:val="restart"/>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P </w:t>
            </w:r>
            <w:proofErr w:type="gramStart"/>
            <w:r>
              <w:rPr>
                <w:rFonts w:ascii="Times New Roman" w:hAnsi="Times New Roman" w:cs="Times New Roman"/>
                <w:sz w:val="20"/>
                <w:szCs w:val="20"/>
              </w:rPr>
              <w:t>&lt; 30</w:t>
            </w:r>
            <w:proofErr w:type="gramEnd"/>
            <w:r>
              <w:rPr>
                <w:rFonts w:ascii="Times New Roman" w:hAnsi="Times New Roman" w:cs="Times New Roman"/>
                <w:sz w:val="20"/>
                <w:szCs w:val="20"/>
              </w:rPr>
              <w:t xml:space="preserve"> W</w:t>
            </w:r>
          </w:p>
        </w:tc>
        <w:tc>
          <w:tcPr>
            <w:tcW w:w="1732" w:type="dxa"/>
            <w:gridSpan w:val="4"/>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 mg</w:t>
            </w:r>
          </w:p>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2837"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392"/>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88" w:type="dxa"/>
            <w:gridSpan w:val="7"/>
            <w:vMerge/>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1732" w:type="dxa"/>
            <w:gridSpan w:val="4"/>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3,5 mg</w:t>
            </w:r>
          </w:p>
        </w:tc>
        <w:tc>
          <w:tcPr>
            <w:tcW w:w="2837"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december 31-ig</w:t>
            </w:r>
          </w:p>
        </w:tc>
      </w:tr>
      <w:tr w:rsidR="0086455B">
        <w:tblPrEx>
          <w:tblCellMar>
            <w:top w:w="0" w:type="dxa"/>
            <w:bottom w:w="0" w:type="dxa"/>
          </w:tblCellMar>
        </w:tblPrEx>
        <w:trPr>
          <w:cantSplit/>
          <w:trHeight w:val="392"/>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88" w:type="dxa"/>
            <w:gridSpan w:val="7"/>
            <w:vMerge/>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1732" w:type="dxa"/>
            <w:gridSpan w:val="4"/>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 mg</w:t>
            </w:r>
          </w:p>
        </w:tc>
        <w:tc>
          <w:tcPr>
            <w:tcW w:w="2837"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2013. január 1-jétől</w:t>
            </w:r>
          </w:p>
        </w:tc>
      </w:tr>
      <w:tr w:rsidR="0086455B">
        <w:tblPrEx>
          <w:tblCellMar>
            <w:top w:w="0" w:type="dxa"/>
            <w:bottom w:w="0" w:type="dxa"/>
          </w:tblCellMar>
        </w:tblPrEx>
        <w:trPr>
          <w:cantSplit/>
          <w:trHeight w:val="294"/>
        </w:trPr>
        <w:tc>
          <w:tcPr>
            <w:tcW w:w="497"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w:t>
            </w: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88" w:type="dxa"/>
            <w:gridSpan w:val="7"/>
            <w:vMerge w:val="restart"/>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30 W </w:t>
            </w:r>
            <w:r>
              <w:rPr>
                <w:rFonts w:ascii="Symbol" w:hAnsi="Symbol" w:cs="Symbol"/>
                <w:sz w:val="20"/>
                <w:szCs w:val="20"/>
              </w:rPr>
              <w:t></w:t>
            </w:r>
            <w:r>
              <w:rPr>
                <w:rFonts w:ascii="Times New Roman" w:hAnsi="Times New Roman" w:cs="Times New Roman"/>
                <w:sz w:val="20"/>
                <w:szCs w:val="20"/>
              </w:rPr>
              <w:t xml:space="preserve">  P </w:t>
            </w:r>
            <w:proofErr w:type="gramStart"/>
            <w:r>
              <w:rPr>
                <w:rFonts w:ascii="Times New Roman" w:hAnsi="Times New Roman" w:cs="Times New Roman"/>
                <w:sz w:val="20"/>
                <w:szCs w:val="20"/>
              </w:rPr>
              <w:t>&lt; 50</w:t>
            </w:r>
            <w:proofErr w:type="gramEnd"/>
            <w:r>
              <w:rPr>
                <w:rFonts w:ascii="Times New Roman" w:hAnsi="Times New Roman" w:cs="Times New Roman"/>
                <w:sz w:val="20"/>
                <w:szCs w:val="20"/>
              </w:rPr>
              <w:t xml:space="preserve"> W</w:t>
            </w:r>
          </w:p>
        </w:tc>
        <w:tc>
          <w:tcPr>
            <w:tcW w:w="1732" w:type="dxa"/>
            <w:gridSpan w:val="4"/>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 mg</w:t>
            </w:r>
          </w:p>
        </w:tc>
        <w:tc>
          <w:tcPr>
            <w:tcW w:w="2837"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294"/>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88" w:type="dxa"/>
            <w:gridSpan w:val="7"/>
            <w:vMerge/>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1732" w:type="dxa"/>
            <w:gridSpan w:val="4"/>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3,5 mg</w:t>
            </w:r>
          </w:p>
        </w:tc>
        <w:tc>
          <w:tcPr>
            <w:tcW w:w="2837"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rPr>
          <w:cantSplit/>
        </w:trPr>
        <w:tc>
          <w:tcPr>
            <w:tcW w:w="497"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6.</w:t>
            </w: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88" w:type="dxa"/>
            <w:gridSpan w:val="7"/>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 </w:t>
            </w:r>
            <w:r>
              <w:rPr>
                <w:rFonts w:ascii="Symbol" w:hAnsi="Symbol" w:cs="Symbol"/>
                <w:sz w:val="20"/>
                <w:szCs w:val="20"/>
              </w:rPr>
              <w:t></w:t>
            </w:r>
            <w:r>
              <w:rPr>
                <w:rFonts w:ascii="Times New Roman" w:hAnsi="Times New Roman" w:cs="Times New Roman"/>
                <w:sz w:val="20"/>
                <w:szCs w:val="20"/>
              </w:rPr>
              <w:t xml:space="preserve"> P </w:t>
            </w:r>
            <w:proofErr w:type="gramStart"/>
            <w:r>
              <w:rPr>
                <w:rFonts w:ascii="Times New Roman" w:hAnsi="Times New Roman" w:cs="Times New Roman"/>
                <w:sz w:val="20"/>
                <w:szCs w:val="20"/>
              </w:rPr>
              <w:t>&lt; 150</w:t>
            </w:r>
            <w:proofErr w:type="gramEnd"/>
            <w:r>
              <w:rPr>
                <w:rFonts w:ascii="Times New Roman" w:hAnsi="Times New Roman" w:cs="Times New Roman"/>
                <w:sz w:val="20"/>
                <w:szCs w:val="20"/>
              </w:rPr>
              <w:t xml:space="preserve"> W</w:t>
            </w:r>
          </w:p>
        </w:tc>
        <w:tc>
          <w:tcPr>
            <w:tcW w:w="1732" w:type="dxa"/>
            <w:gridSpan w:val="4"/>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 mg</w:t>
            </w:r>
          </w:p>
        </w:tc>
        <w:tc>
          <w:tcPr>
            <w:tcW w:w="2837"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rPr>
          <w:cantSplit/>
        </w:trPr>
        <w:tc>
          <w:tcPr>
            <w:tcW w:w="497"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7.</w:t>
            </w: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88" w:type="dxa"/>
            <w:gridSpan w:val="7"/>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150 W </w:t>
            </w:r>
            <w:r>
              <w:rPr>
                <w:rFonts w:ascii="Symbol" w:hAnsi="Symbol" w:cs="Symbol"/>
                <w:sz w:val="20"/>
                <w:szCs w:val="20"/>
              </w:rPr>
              <w:t></w:t>
            </w:r>
            <w:r>
              <w:rPr>
                <w:rFonts w:ascii="Times New Roman" w:hAnsi="Times New Roman" w:cs="Times New Roman"/>
                <w:sz w:val="20"/>
                <w:szCs w:val="20"/>
              </w:rPr>
              <w:t xml:space="preserve"> P</w:t>
            </w:r>
          </w:p>
        </w:tc>
        <w:tc>
          <w:tcPr>
            <w:tcW w:w="1732" w:type="dxa"/>
            <w:gridSpan w:val="4"/>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15 mg</w:t>
            </w:r>
          </w:p>
        </w:tc>
        <w:tc>
          <w:tcPr>
            <w:tcW w:w="2837"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rPr>
          <w:cantSplit/>
          <w:trHeight w:val="390"/>
        </w:trPr>
        <w:tc>
          <w:tcPr>
            <w:tcW w:w="497"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8.</w:t>
            </w:r>
          </w:p>
        </w:tc>
        <w:tc>
          <w:tcPr>
            <w:tcW w:w="3237" w:type="dxa"/>
            <w:gridSpan w:val="3"/>
            <w:vMerge w:val="restart"/>
          </w:tcPr>
          <w:p w:rsidR="0086455B" w:rsidRDefault="0086455B">
            <w:pPr>
              <w:autoSpaceDE w:val="0"/>
              <w:autoSpaceDN w:val="0"/>
              <w:adjustRightInd w:val="0"/>
              <w:spacing w:before="40" w:after="20" w:line="240" w:lineRule="auto"/>
              <w:ind w:hanging="2"/>
              <w:rPr>
                <w:rFonts w:ascii="Times New Roman" w:hAnsi="Times New Roman" w:cs="Times New Roman"/>
                <w:sz w:val="20"/>
                <w:szCs w:val="20"/>
              </w:rPr>
            </w:pPr>
            <w:r>
              <w:rPr>
                <w:rFonts w:ascii="Times New Roman" w:hAnsi="Times New Roman" w:cs="Times New Roman"/>
                <w:sz w:val="20"/>
                <w:szCs w:val="20"/>
              </w:rPr>
              <w:t xml:space="preserve">Általános világítási célra szolgáló, kör </w:t>
            </w:r>
            <w:r>
              <w:rPr>
                <w:rFonts w:ascii="Times New Roman" w:hAnsi="Times New Roman" w:cs="Times New Roman"/>
                <w:sz w:val="20"/>
                <w:szCs w:val="20"/>
              </w:rPr>
              <w:lastRenderedPageBreak/>
              <w:t xml:space="preserve">alakú vagy szögletes strukturális formájú, legfeljebb 17 mm csőátmérőjű fénycső </w:t>
            </w:r>
          </w:p>
        </w:tc>
        <w:tc>
          <w:tcPr>
            <w:tcW w:w="1988" w:type="dxa"/>
            <w:gridSpan w:val="7"/>
            <w:vMerge w:val="restart"/>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32" w:type="dxa"/>
            <w:gridSpan w:val="4"/>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7"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390"/>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88" w:type="dxa"/>
            <w:gridSpan w:val="7"/>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732" w:type="dxa"/>
            <w:gridSpan w:val="4"/>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7 mg</w:t>
            </w:r>
          </w:p>
        </w:tc>
        <w:tc>
          <w:tcPr>
            <w:tcW w:w="2837"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c>
          <w:tcPr>
            <w:tcW w:w="497"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lastRenderedPageBreak/>
              <w:t>9.</w:t>
            </w:r>
          </w:p>
        </w:tc>
        <w:tc>
          <w:tcPr>
            <w:tcW w:w="3237"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Különleges rendeltetésű fénycső </w:t>
            </w:r>
          </w:p>
        </w:tc>
        <w:tc>
          <w:tcPr>
            <w:tcW w:w="1988" w:type="dxa"/>
            <w:gridSpan w:val="7"/>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32" w:type="dxa"/>
            <w:gridSpan w:val="4"/>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 mg</w:t>
            </w:r>
          </w:p>
        </w:tc>
        <w:tc>
          <w:tcPr>
            <w:tcW w:w="2837"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497"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w:t>
            </w:r>
          </w:p>
        </w:tc>
        <w:tc>
          <w:tcPr>
            <w:tcW w:w="9794" w:type="dxa"/>
            <w:gridSpan w:val="15"/>
          </w:tcPr>
          <w:p w:rsidR="0086455B" w:rsidRDefault="0086455B">
            <w:pPr>
              <w:autoSpaceDE w:val="0"/>
              <w:autoSpaceDN w:val="0"/>
              <w:adjustRightInd w:val="0"/>
              <w:spacing w:before="40" w:after="20" w:line="240" w:lineRule="auto"/>
              <w:ind w:left="300" w:hanging="300"/>
              <w:rPr>
                <w:rFonts w:ascii="Times New Roman" w:hAnsi="Times New Roman" w:cs="Times New Roman"/>
                <w:b/>
                <w:bCs/>
                <w:color w:val="000000"/>
                <w:sz w:val="20"/>
                <w:szCs w:val="20"/>
              </w:rPr>
            </w:pPr>
            <w:r>
              <w:rPr>
                <w:rFonts w:ascii="Times New Roman" w:hAnsi="Times New Roman" w:cs="Times New Roman"/>
                <w:b/>
                <w:bCs/>
                <w:color w:val="000000"/>
                <w:sz w:val="20"/>
                <w:szCs w:val="20"/>
              </w:rPr>
              <w:t>b) Két végén fejelt, általános világítási célra szolgáló fénycsövekben használt higany (fénycsövenként):</w:t>
            </w:r>
          </w:p>
        </w:tc>
      </w:tr>
      <w:tr w:rsidR="0086455B">
        <w:tblPrEx>
          <w:tblCellMar>
            <w:top w:w="0" w:type="dxa"/>
            <w:bottom w:w="0" w:type="dxa"/>
          </w:tblCellMar>
        </w:tblPrEx>
        <w:trPr>
          <w:trHeight w:val="294"/>
        </w:trPr>
        <w:tc>
          <w:tcPr>
            <w:tcW w:w="497"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11.</w:t>
            </w:r>
          </w:p>
        </w:tc>
        <w:tc>
          <w:tcPr>
            <w:tcW w:w="3237" w:type="dxa"/>
            <w:gridSpan w:val="3"/>
          </w:tcPr>
          <w:p w:rsidR="0086455B" w:rsidRDefault="0086455B">
            <w:pPr>
              <w:autoSpaceDE w:val="0"/>
              <w:autoSpaceDN w:val="0"/>
              <w:adjustRightInd w:val="0"/>
              <w:spacing w:before="40" w:after="20" w:line="240" w:lineRule="auto"/>
              <w:rPr>
                <w:rFonts w:ascii="Times New Roman" w:hAnsi="Times New Roman" w:cs="Times New Roman"/>
                <w:b/>
                <w:bCs/>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Típus</w:t>
            </w:r>
          </w:p>
        </w:tc>
        <w:tc>
          <w:tcPr>
            <w:tcW w:w="1944" w:type="dxa"/>
            <w:gridSpan w:val="5"/>
          </w:tcPr>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Ø</w:t>
            </w:r>
          </w:p>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Csőátmérő</w:t>
            </w:r>
          </w:p>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mm</w:t>
            </w:r>
          </w:p>
        </w:tc>
        <w:tc>
          <w:tcPr>
            <w:tcW w:w="1626" w:type="dxa"/>
            <w:gridSpan w:val="5"/>
          </w:tcPr>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Maximális megengedett koncentráció</w:t>
            </w:r>
          </w:p>
        </w:tc>
        <w:tc>
          <w:tcPr>
            <w:tcW w:w="2987" w:type="dxa"/>
            <w:gridSpan w:val="2"/>
          </w:tcPr>
          <w:p w:rsidR="0086455B" w:rsidRDefault="0086455B">
            <w:pPr>
              <w:autoSpaceDE w:val="0"/>
              <w:autoSpaceDN w:val="0"/>
              <w:adjustRightInd w:val="0"/>
              <w:spacing w:before="40" w:after="20" w:line="240" w:lineRule="auto"/>
              <w:rPr>
                <w:rFonts w:ascii="Times New Roman" w:hAnsi="Times New Roman" w:cs="Times New Roman"/>
                <w:b/>
                <w:bCs/>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mentesség határideje</w:t>
            </w:r>
          </w:p>
        </w:tc>
      </w:tr>
      <w:tr w:rsidR="0086455B">
        <w:tblPrEx>
          <w:tblCellMar>
            <w:top w:w="0" w:type="dxa"/>
            <w:bottom w:w="0" w:type="dxa"/>
          </w:tblCellMar>
        </w:tblPrEx>
        <w:trPr>
          <w:cantSplit/>
          <w:trHeight w:val="294"/>
        </w:trPr>
        <w:tc>
          <w:tcPr>
            <w:tcW w:w="497"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12.</w:t>
            </w:r>
          </w:p>
        </w:tc>
        <w:tc>
          <w:tcPr>
            <w:tcW w:w="3237" w:type="dxa"/>
            <w:gridSpan w:val="3"/>
            <w:vMerge w:val="restart"/>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Normál élettartamú fénycső háromsávos fényporral, 9 mm alatti csőátmérővel (pl. T2)</w:t>
            </w:r>
          </w:p>
        </w:tc>
        <w:tc>
          <w:tcPr>
            <w:tcW w:w="1944" w:type="dxa"/>
            <w:gridSpan w:val="5"/>
            <w:vMerge w:val="restart"/>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Ø </w:t>
            </w:r>
            <w:proofErr w:type="gramStart"/>
            <w:r>
              <w:rPr>
                <w:rFonts w:ascii="Times New Roman" w:hAnsi="Times New Roman" w:cs="Times New Roman"/>
                <w:sz w:val="20"/>
                <w:szCs w:val="20"/>
              </w:rPr>
              <w:t>&lt; 9</w:t>
            </w:r>
            <w:proofErr w:type="gramEnd"/>
            <w:r>
              <w:rPr>
                <w:rFonts w:ascii="Times New Roman" w:hAnsi="Times New Roman" w:cs="Times New Roman"/>
                <w:sz w:val="20"/>
                <w:szCs w:val="20"/>
              </w:rPr>
              <w:t xml:space="preserve"> mm</w:t>
            </w:r>
          </w:p>
        </w:tc>
        <w:tc>
          <w:tcPr>
            <w:tcW w:w="1626" w:type="dxa"/>
            <w:gridSpan w:val="5"/>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 mg</w:t>
            </w:r>
          </w:p>
        </w:tc>
        <w:tc>
          <w:tcPr>
            <w:tcW w:w="2987" w:type="dxa"/>
            <w:gridSpan w:val="2"/>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294"/>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44" w:type="dxa"/>
            <w:gridSpan w:val="5"/>
            <w:vMerge/>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1626" w:type="dxa"/>
            <w:gridSpan w:val="5"/>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 mg</w:t>
            </w:r>
          </w:p>
        </w:tc>
        <w:tc>
          <w:tcPr>
            <w:tcW w:w="2987" w:type="dxa"/>
            <w:gridSpan w:val="2"/>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rPr>
          <w:cantSplit/>
          <w:trHeight w:val="294"/>
        </w:trPr>
        <w:tc>
          <w:tcPr>
            <w:tcW w:w="497"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13.</w:t>
            </w:r>
          </w:p>
        </w:tc>
        <w:tc>
          <w:tcPr>
            <w:tcW w:w="3237" w:type="dxa"/>
            <w:gridSpan w:val="3"/>
            <w:vMerge w:val="restart"/>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Normál élettartamú fénycső háromsávos fényporral (pl. T5)</w:t>
            </w:r>
          </w:p>
        </w:tc>
        <w:tc>
          <w:tcPr>
            <w:tcW w:w="1944" w:type="dxa"/>
            <w:gridSpan w:val="5"/>
            <w:vMerge w:val="restart"/>
            <w:vAlign w:val="center"/>
          </w:tcPr>
          <w:p w:rsidR="0086455B" w:rsidRDefault="0086455B">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 mm </w:t>
            </w:r>
            <w:proofErr w:type="gramStart"/>
            <w:r>
              <w:rPr>
                <w:rFonts w:ascii="Times New Roman" w:hAnsi="Times New Roman" w:cs="Times New Roman"/>
                <w:color w:val="000000"/>
                <w:sz w:val="20"/>
                <w:szCs w:val="20"/>
              </w:rPr>
              <w:t xml:space="preserve">&lt; Ø </w:t>
            </w:r>
            <w:r>
              <w:rPr>
                <w:rFonts w:ascii="Symbol" w:hAnsi="Symbol" w:cs="Symbol"/>
                <w:color w:val="000000"/>
                <w:sz w:val="20"/>
                <w:szCs w:val="20"/>
              </w:rPr>
              <w:t></w:t>
            </w:r>
            <w:r>
              <w:rPr>
                <w:rFonts w:ascii="Times New Roman" w:hAnsi="Times New Roman" w:cs="Times New Roman"/>
                <w:color w:val="000000"/>
                <w:sz w:val="20"/>
                <w:szCs w:val="20"/>
              </w:rPr>
              <w:t xml:space="preserve"> 17</w:t>
            </w:r>
            <w:proofErr w:type="gramEnd"/>
            <w:r>
              <w:rPr>
                <w:rFonts w:ascii="Times New Roman" w:hAnsi="Times New Roman" w:cs="Times New Roman"/>
                <w:color w:val="000000"/>
                <w:sz w:val="20"/>
                <w:szCs w:val="20"/>
              </w:rPr>
              <w:t xml:space="preserve"> mm</w:t>
            </w:r>
          </w:p>
        </w:tc>
        <w:tc>
          <w:tcPr>
            <w:tcW w:w="1626" w:type="dxa"/>
            <w:gridSpan w:val="5"/>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 mg</w:t>
            </w:r>
          </w:p>
        </w:tc>
        <w:tc>
          <w:tcPr>
            <w:tcW w:w="2987" w:type="dxa"/>
            <w:gridSpan w:val="2"/>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294"/>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44" w:type="dxa"/>
            <w:gridSpan w:val="5"/>
            <w:vMerge/>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1626" w:type="dxa"/>
            <w:gridSpan w:val="5"/>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 mg</w:t>
            </w:r>
          </w:p>
        </w:tc>
        <w:tc>
          <w:tcPr>
            <w:tcW w:w="2987" w:type="dxa"/>
            <w:gridSpan w:val="2"/>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1-től</w:t>
            </w:r>
          </w:p>
        </w:tc>
      </w:tr>
      <w:tr w:rsidR="0086455B">
        <w:tblPrEx>
          <w:tblCellMar>
            <w:top w:w="0" w:type="dxa"/>
            <w:bottom w:w="0" w:type="dxa"/>
          </w:tblCellMar>
        </w:tblPrEx>
        <w:trPr>
          <w:cantSplit/>
          <w:trHeight w:val="294"/>
        </w:trPr>
        <w:tc>
          <w:tcPr>
            <w:tcW w:w="497"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14.</w:t>
            </w:r>
          </w:p>
        </w:tc>
        <w:tc>
          <w:tcPr>
            <w:tcW w:w="3237" w:type="dxa"/>
            <w:gridSpan w:val="3"/>
            <w:vMerge w:val="restart"/>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Normál élettartamú fénycső háromsávos fényporral (pl. T8)</w:t>
            </w:r>
          </w:p>
        </w:tc>
        <w:tc>
          <w:tcPr>
            <w:tcW w:w="1944" w:type="dxa"/>
            <w:gridSpan w:val="5"/>
            <w:vMerge w:val="restart"/>
            <w:vAlign w:val="center"/>
          </w:tcPr>
          <w:p w:rsidR="0086455B" w:rsidRDefault="0086455B">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17 mm </w:t>
            </w:r>
            <w:proofErr w:type="gramStart"/>
            <w:r>
              <w:rPr>
                <w:rFonts w:ascii="Times New Roman" w:hAnsi="Times New Roman" w:cs="Times New Roman"/>
                <w:color w:val="000000"/>
                <w:sz w:val="20"/>
                <w:szCs w:val="20"/>
              </w:rPr>
              <w:t xml:space="preserve">&lt; Ø </w:t>
            </w:r>
            <w:r>
              <w:rPr>
                <w:rFonts w:ascii="Symbol" w:hAnsi="Symbol" w:cs="Symbol"/>
                <w:color w:val="000000"/>
                <w:sz w:val="20"/>
                <w:szCs w:val="20"/>
              </w:rPr>
              <w:t></w:t>
            </w:r>
            <w:r>
              <w:rPr>
                <w:rFonts w:ascii="Times New Roman" w:hAnsi="Times New Roman" w:cs="Times New Roman"/>
                <w:color w:val="000000"/>
                <w:sz w:val="20"/>
                <w:szCs w:val="20"/>
              </w:rPr>
              <w:t xml:space="preserve"> 28</w:t>
            </w:r>
            <w:proofErr w:type="gramEnd"/>
            <w:r>
              <w:rPr>
                <w:rFonts w:ascii="Times New Roman" w:hAnsi="Times New Roman" w:cs="Times New Roman"/>
                <w:color w:val="000000"/>
                <w:sz w:val="20"/>
                <w:szCs w:val="20"/>
              </w:rPr>
              <w:t xml:space="preserve"> mm</w:t>
            </w:r>
          </w:p>
        </w:tc>
        <w:tc>
          <w:tcPr>
            <w:tcW w:w="1626" w:type="dxa"/>
            <w:gridSpan w:val="5"/>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 mg</w:t>
            </w:r>
          </w:p>
        </w:tc>
        <w:tc>
          <w:tcPr>
            <w:tcW w:w="2987" w:type="dxa"/>
            <w:gridSpan w:val="2"/>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294"/>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44" w:type="dxa"/>
            <w:gridSpan w:val="5"/>
            <w:vMerge/>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1626" w:type="dxa"/>
            <w:gridSpan w:val="5"/>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3,5 mg</w:t>
            </w:r>
          </w:p>
        </w:tc>
        <w:tc>
          <w:tcPr>
            <w:tcW w:w="2987" w:type="dxa"/>
            <w:gridSpan w:val="2"/>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rPr>
          <w:cantSplit/>
          <w:trHeight w:val="294"/>
        </w:trPr>
        <w:tc>
          <w:tcPr>
            <w:tcW w:w="497"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15.</w:t>
            </w:r>
          </w:p>
        </w:tc>
        <w:tc>
          <w:tcPr>
            <w:tcW w:w="3237" w:type="dxa"/>
            <w:gridSpan w:val="3"/>
            <w:vMerge w:val="restart"/>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Normál élettartamú fénycső háromsávos fényporral (pl. T12)</w:t>
            </w:r>
          </w:p>
        </w:tc>
        <w:tc>
          <w:tcPr>
            <w:tcW w:w="1944" w:type="dxa"/>
            <w:gridSpan w:val="5"/>
            <w:vMerge w:val="restart"/>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28 mm </w:t>
            </w:r>
            <w:proofErr w:type="gramStart"/>
            <w:r>
              <w:rPr>
                <w:rFonts w:ascii="Times New Roman" w:hAnsi="Times New Roman" w:cs="Times New Roman"/>
                <w:sz w:val="20"/>
                <w:szCs w:val="20"/>
              </w:rPr>
              <w:t>&lt;</w:t>
            </w:r>
            <w:proofErr w:type="gramEnd"/>
            <w:r>
              <w:rPr>
                <w:rFonts w:ascii="Times New Roman" w:hAnsi="Times New Roman" w:cs="Times New Roman"/>
                <w:sz w:val="20"/>
                <w:szCs w:val="20"/>
              </w:rPr>
              <w:t xml:space="preserve"> Ø</w:t>
            </w:r>
          </w:p>
        </w:tc>
        <w:tc>
          <w:tcPr>
            <w:tcW w:w="1626" w:type="dxa"/>
            <w:gridSpan w:val="5"/>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 mg</w:t>
            </w:r>
          </w:p>
        </w:tc>
        <w:tc>
          <w:tcPr>
            <w:tcW w:w="2987" w:type="dxa"/>
            <w:gridSpan w:val="2"/>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december 31-ig</w:t>
            </w:r>
          </w:p>
        </w:tc>
      </w:tr>
      <w:tr w:rsidR="0086455B">
        <w:tblPrEx>
          <w:tblCellMar>
            <w:top w:w="0" w:type="dxa"/>
            <w:bottom w:w="0" w:type="dxa"/>
          </w:tblCellMar>
        </w:tblPrEx>
        <w:trPr>
          <w:cantSplit/>
          <w:trHeight w:val="294"/>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44" w:type="dxa"/>
            <w:gridSpan w:val="5"/>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626" w:type="dxa"/>
            <w:gridSpan w:val="5"/>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3,5 mg</w:t>
            </w:r>
          </w:p>
        </w:tc>
        <w:tc>
          <w:tcPr>
            <w:tcW w:w="2987" w:type="dxa"/>
            <w:gridSpan w:val="2"/>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2013. január 1-jétől</w:t>
            </w:r>
          </w:p>
        </w:tc>
      </w:tr>
      <w:tr w:rsidR="0086455B">
        <w:tblPrEx>
          <w:tblCellMar>
            <w:top w:w="0" w:type="dxa"/>
            <w:bottom w:w="0" w:type="dxa"/>
          </w:tblCellMar>
        </w:tblPrEx>
        <w:trPr>
          <w:cantSplit/>
          <w:trHeight w:val="294"/>
        </w:trPr>
        <w:tc>
          <w:tcPr>
            <w:tcW w:w="497"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16.</w:t>
            </w:r>
          </w:p>
        </w:tc>
        <w:tc>
          <w:tcPr>
            <w:tcW w:w="3237" w:type="dxa"/>
            <w:gridSpan w:val="3"/>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Hosszú (legalább 25 000 óra) élettartamú fénycső háromsávos fényporral</w:t>
            </w:r>
          </w:p>
        </w:tc>
        <w:tc>
          <w:tcPr>
            <w:tcW w:w="1944" w:type="dxa"/>
            <w:gridSpan w:val="5"/>
            <w:vMerge w:val="restart"/>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626" w:type="dxa"/>
            <w:gridSpan w:val="5"/>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8 mg</w:t>
            </w:r>
          </w:p>
        </w:tc>
        <w:tc>
          <w:tcPr>
            <w:tcW w:w="2987" w:type="dxa"/>
            <w:gridSpan w:val="2"/>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294"/>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44" w:type="dxa"/>
            <w:gridSpan w:val="5"/>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626" w:type="dxa"/>
            <w:gridSpan w:val="5"/>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 mg</w:t>
            </w:r>
          </w:p>
        </w:tc>
        <w:tc>
          <w:tcPr>
            <w:tcW w:w="2987" w:type="dxa"/>
            <w:gridSpan w:val="2"/>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rPr>
          <w:trHeight w:val="418"/>
        </w:trPr>
        <w:tc>
          <w:tcPr>
            <w:tcW w:w="497"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17.</w:t>
            </w:r>
          </w:p>
        </w:tc>
        <w:tc>
          <w:tcPr>
            <w:tcW w:w="9794" w:type="dxa"/>
            <w:gridSpan w:val="15"/>
          </w:tcPr>
          <w:p w:rsidR="0086455B" w:rsidRDefault="0086455B">
            <w:pPr>
              <w:autoSpaceDE w:val="0"/>
              <w:autoSpaceDN w:val="0"/>
              <w:adjustRightInd w:val="0"/>
              <w:spacing w:before="40" w:after="20" w:line="240" w:lineRule="auto"/>
              <w:ind w:left="300" w:hanging="30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 Egyéb kompakt fénycsövekben használt higany (fénycsövenként): </w:t>
            </w:r>
          </w:p>
        </w:tc>
      </w:tr>
      <w:tr w:rsidR="0086455B">
        <w:tblPrEx>
          <w:tblCellMar>
            <w:top w:w="0" w:type="dxa"/>
            <w:bottom w:w="0" w:type="dxa"/>
          </w:tblCellMar>
        </w:tblPrEx>
        <w:trPr>
          <w:trHeight w:val="418"/>
        </w:trPr>
        <w:tc>
          <w:tcPr>
            <w:tcW w:w="497"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18.</w:t>
            </w:r>
          </w:p>
        </w:tc>
        <w:tc>
          <w:tcPr>
            <w:tcW w:w="3237" w:type="dxa"/>
            <w:gridSpan w:val="3"/>
          </w:tcPr>
          <w:p w:rsidR="0086455B" w:rsidRDefault="0086455B">
            <w:pPr>
              <w:autoSpaceDE w:val="0"/>
              <w:autoSpaceDN w:val="0"/>
              <w:adjustRightInd w:val="0"/>
              <w:spacing w:before="40" w:after="20" w:line="240" w:lineRule="auto"/>
              <w:rPr>
                <w:rFonts w:ascii="Times New Roman" w:hAnsi="Times New Roman" w:cs="Times New Roman"/>
                <w:b/>
                <w:bCs/>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Típus</w:t>
            </w:r>
          </w:p>
        </w:tc>
        <w:tc>
          <w:tcPr>
            <w:tcW w:w="1961"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Ø</w:t>
            </w:r>
          </w:p>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Csőátmérő</w:t>
            </w:r>
          </w:p>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mm</w:t>
            </w:r>
          </w:p>
        </w:tc>
        <w:tc>
          <w:tcPr>
            <w:tcW w:w="1609" w:type="dxa"/>
            <w:gridSpan w:val="4"/>
          </w:tcPr>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Maximális megengedett koncentráció</w:t>
            </w:r>
          </w:p>
        </w:tc>
        <w:tc>
          <w:tcPr>
            <w:tcW w:w="2987" w:type="dxa"/>
            <w:gridSpan w:val="2"/>
            <w:vAlign w:val="center"/>
          </w:tcPr>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mentesség határideje</w:t>
            </w:r>
          </w:p>
        </w:tc>
      </w:tr>
      <w:tr w:rsidR="0086455B">
        <w:tblPrEx>
          <w:tblCellMar>
            <w:top w:w="0" w:type="dxa"/>
            <w:bottom w:w="0" w:type="dxa"/>
          </w:tblCellMar>
        </w:tblPrEx>
        <w:tc>
          <w:tcPr>
            <w:tcW w:w="497"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19.</w:t>
            </w:r>
          </w:p>
        </w:tc>
        <w:tc>
          <w:tcPr>
            <w:tcW w:w="3237"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Egyenes </w:t>
            </w:r>
            <w:proofErr w:type="spellStart"/>
            <w:r>
              <w:rPr>
                <w:rFonts w:ascii="Times New Roman" w:hAnsi="Times New Roman" w:cs="Times New Roman"/>
                <w:sz w:val="20"/>
                <w:szCs w:val="20"/>
              </w:rPr>
              <w:t>halofoszfát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fénycsövek  (</w:t>
            </w:r>
            <w:proofErr w:type="gramEnd"/>
            <w:r>
              <w:rPr>
                <w:rFonts w:ascii="Times New Roman" w:hAnsi="Times New Roman" w:cs="Times New Roman"/>
                <w:sz w:val="20"/>
                <w:szCs w:val="20"/>
              </w:rPr>
              <w:t>pl. T10 és T12)</w:t>
            </w:r>
          </w:p>
        </w:tc>
        <w:tc>
          <w:tcPr>
            <w:tcW w:w="1961"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28 mm </w:t>
            </w:r>
            <w:proofErr w:type="gramStart"/>
            <w:r>
              <w:rPr>
                <w:rFonts w:ascii="Times New Roman" w:hAnsi="Times New Roman" w:cs="Times New Roman"/>
                <w:sz w:val="20"/>
                <w:szCs w:val="20"/>
              </w:rPr>
              <w:t>&lt;</w:t>
            </w:r>
            <w:proofErr w:type="gramEnd"/>
            <w:r>
              <w:rPr>
                <w:rFonts w:ascii="Times New Roman" w:hAnsi="Times New Roman" w:cs="Times New Roman"/>
                <w:sz w:val="20"/>
                <w:szCs w:val="20"/>
              </w:rPr>
              <w:t xml:space="preserve"> Ø</w:t>
            </w:r>
          </w:p>
        </w:tc>
        <w:tc>
          <w:tcPr>
            <w:tcW w:w="1609" w:type="dxa"/>
            <w:gridSpan w:val="4"/>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10 mg</w:t>
            </w:r>
          </w:p>
        </w:tc>
        <w:tc>
          <w:tcPr>
            <w:tcW w:w="2987" w:type="dxa"/>
            <w:gridSpan w:val="2"/>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április 13-ig</w:t>
            </w:r>
          </w:p>
        </w:tc>
      </w:tr>
      <w:tr w:rsidR="0086455B">
        <w:tblPrEx>
          <w:tblCellMar>
            <w:top w:w="0" w:type="dxa"/>
            <w:bottom w:w="0" w:type="dxa"/>
          </w:tblCellMar>
        </w:tblPrEx>
        <w:tc>
          <w:tcPr>
            <w:tcW w:w="497"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20.</w:t>
            </w:r>
          </w:p>
        </w:tc>
        <w:tc>
          <w:tcPr>
            <w:tcW w:w="3237"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Nem egyenes </w:t>
            </w:r>
            <w:proofErr w:type="spellStart"/>
            <w:r>
              <w:rPr>
                <w:rFonts w:ascii="Times New Roman" w:hAnsi="Times New Roman" w:cs="Times New Roman"/>
                <w:sz w:val="20"/>
                <w:szCs w:val="20"/>
              </w:rPr>
              <w:t>halofoszfát</w:t>
            </w:r>
            <w:proofErr w:type="spellEnd"/>
            <w:r>
              <w:rPr>
                <w:rFonts w:ascii="Times New Roman" w:hAnsi="Times New Roman" w:cs="Times New Roman"/>
                <w:sz w:val="20"/>
                <w:szCs w:val="20"/>
              </w:rPr>
              <w:t xml:space="preserve"> fénycsövek </w:t>
            </w:r>
          </w:p>
        </w:tc>
        <w:tc>
          <w:tcPr>
            <w:tcW w:w="1961"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Bármely Ø</w:t>
            </w:r>
          </w:p>
        </w:tc>
        <w:tc>
          <w:tcPr>
            <w:tcW w:w="1609" w:type="dxa"/>
            <w:gridSpan w:val="4"/>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15 mg</w:t>
            </w:r>
          </w:p>
        </w:tc>
        <w:tc>
          <w:tcPr>
            <w:tcW w:w="2987" w:type="dxa"/>
            <w:gridSpan w:val="2"/>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2016. április 13-ig</w:t>
            </w:r>
          </w:p>
        </w:tc>
      </w:tr>
      <w:tr w:rsidR="0086455B">
        <w:tblPrEx>
          <w:tblCellMar>
            <w:top w:w="0" w:type="dxa"/>
            <w:bottom w:w="0" w:type="dxa"/>
          </w:tblCellMar>
        </w:tblPrEx>
        <w:trPr>
          <w:cantSplit/>
          <w:trHeight w:val="294"/>
        </w:trPr>
        <w:tc>
          <w:tcPr>
            <w:tcW w:w="497"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21.</w:t>
            </w:r>
          </w:p>
        </w:tc>
        <w:tc>
          <w:tcPr>
            <w:tcW w:w="3237" w:type="dxa"/>
            <w:gridSpan w:val="3"/>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Nem egyenes fénycsövek háromsávos fényporral, 17 mm feletti csőátmérővel (pl. T9) </w:t>
            </w:r>
          </w:p>
        </w:tc>
        <w:tc>
          <w:tcPr>
            <w:tcW w:w="1961" w:type="dxa"/>
            <w:gridSpan w:val="6"/>
            <w:vMerge w:val="restart"/>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17 mm </w:t>
            </w:r>
            <w:proofErr w:type="gramStart"/>
            <w:r>
              <w:rPr>
                <w:rFonts w:ascii="Times New Roman" w:hAnsi="Times New Roman" w:cs="Times New Roman"/>
                <w:sz w:val="20"/>
                <w:szCs w:val="20"/>
              </w:rPr>
              <w:t>&lt;</w:t>
            </w:r>
            <w:proofErr w:type="gramEnd"/>
            <w:r>
              <w:rPr>
                <w:rFonts w:ascii="Times New Roman" w:hAnsi="Times New Roman" w:cs="Times New Roman"/>
                <w:sz w:val="20"/>
                <w:szCs w:val="20"/>
              </w:rPr>
              <w:t xml:space="preserve"> Ø</w:t>
            </w:r>
          </w:p>
        </w:tc>
        <w:tc>
          <w:tcPr>
            <w:tcW w:w="1609" w:type="dxa"/>
            <w:gridSpan w:val="4"/>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987" w:type="dxa"/>
            <w:gridSpan w:val="2"/>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294"/>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61" w:type="dxa"/>
            <w:gridSpan w:val="6"/>
            <w:vMerge/>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p>
        </w:tc>
        <w:tc>
          <w:tcPr>
            <w:tcW w:w="1609" w:type="dxa"/>
            <w:gridSpan w:val="4"/>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15 mg</w:t>
            </w:r>
          </w:p>
        </w:tc>
        <w:tc>
          <w:tcPr>
            <w:tcW w:w="2987" w:type="dxa"/>
            <w:gridSpan w:val="2"/>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rPr>
          <w:cantSplit/>
          <w:trHeight w:val="294"/>
        </w:trPr>
        <w:tc>
          <w:tcPr>
            <w:tcW w:w="497"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22.</w:t>
            </w:r>
          </w:p>
        </w:tc>
        <w:tc>
          <w:tcPr>
            <w:tcW w:w="3237" w:type="dxa"/>
            <w:gridSpan w:val="3"/>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Egyéb általános világítási célra szolgáló vagy különleges rendeltetésű lámpák (pl. indukciós lámpák) </w:t>
            </w:r>
          </w:p>
        </w:tc>
        <w:tc>
          <w:tcPr>
            <w:tcW w:w="1961" w:type="dxa"/>
            <w:gridSpan w:val="6"/>
            <w:vMerge w:val="restart"/>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609" w:type="dxa"/>
            <w:gridSpan w:val="4"/>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987" w:type="dxa"/>
            <w:gridSpan w:val="2"/>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294"/>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61" w:type="dxa"/>
            <w:gridSpan w:val="6"/>
            <w:vMerge/>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p>
        </w:tc>
        <w:tc>
          <w:tcPr>
            <w:tcW w:w="1609" w:type="dxa"/>
            <w:gridSpan w:val="4"/>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15 mg</w:t>
            </w:r>
          </w:p>
        </w:tc>
        <w:tc>
          <w:tcPr>
            <w:tcW w:w="2987" w:type="dxa"/>
            <w:gridSpan w:val="2"/>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c>
          <w:tcPr>
            <w:tcW w:w="497"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23.</w:t>
            </w:r>
          </w:p>
        </w:tc>
        <w:tc>
          <w:tcPr>
            <w:tcW w:w="9794" w:type="dxa"/>
            <w:gridSpan w:val="15"/>
          </w:tcPr>
          <w:p w:rsidR="0086455B" w:rsidRDefault="0086455B">
            <w:pPr>
              <w:autoSpaceDE w:val="0"/>
              <w:autoSpaceDN w:val="0"/>
              <w:adjustRightInd w:val="0"/>
              <w:spacing w:before="40" w:after="20" w:line="240" w:lineRule="auto"/>
              <w:ind w:left="300" w:hanging="300"/>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Pr>
                <w:rFonts w:ascii="Times New Roman" w:hAnsi="Times New Roman" w:cs="Times New Roman"/>
                <w:b/>
                <w:bCs/>
                <w:color w:val="000000"/>
                <w:sz w:val="20"/>
                <w:szCs w:val="20"/>
              </w:rPr>
              <w:tab/>
              <w:t xml:space="preserve">Különleges rendeltetésű hidegkatódos fénycsövekben és külső elektródás fénycsövekben (CCFL és EEFL) használt higany, amelynek megengedett mennyisége (fénycsövenként/lámpánként): </w:t>
            </w:r>
          </w:p>
        </w:tc>
      </w:tr>
      <w:tr w:rsidR="0086455B">
        <w:tblPrEx>
          <w:tblCellMar>
            <w:top w:w="0" w:type="dxa"/>
            <w:bottom w:w="0" w:type="dxa"/>
          </w:tblCellMar>
        </w:tblPrEx>
        <w:tc>
          <w:tcPr>
            <w:tcW w:w="497"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24.</w:t>
            </w:r>
          </w:p>
        </w:tc>
        <w:tc>
          <w:tcPr>
            <w:tcW w:w="3237" w:type="dxa"/>
            <w:gridSpan w:val="3"/>
          </w:tcPr>
          <w:p w:rsidR="0086455B" w:rsidRDefault="0086455B">
            <w:pPr>
              <w:autoSpaceDE w:val="0"/>
              <w:autoSpaceDN w:val="0"/>
              <w:adjustRightInd w:val="0"/>
              <w:spacing w:before="40" w:after="20" w:line="240" w:lineRule="auto"/>
              <w:rPr>
                <w:rFonts w:ascii="Times New Roman" w:hAnsi="Times New Roman" w:cs="Times New Roman"/>
                <w:b/>
                <w:bCs/>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Típus</w:t>
            </w:r>
          </w:p>
        </w:tc>
        <w:tc>
          <w:tcPr>
            <w:tcW w:w="1882" w:type="dxa"/>
            <w:gridSpan w:val="4"/>
          </w:tcPr>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L</w:t>
            </w:r>
          </w:p>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Lámpahossz</w:t>
            </w:r>
          </w:p>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mm</w:t>
            </w:r>
          </w:p>
        </w:tc>
        <w:tc>
          <w:tcPr>
            <w:tcW w:w="1676" w:type="dxa"/>
            <w:gridSpan w:val="5"/>
          </w:tcPr>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Maximális megengedett koncentráció</w:t>
            </w:r>
          </w:p>
        </w:tc>
        <w:tc>
          <w:tcPr>
            <w:tcW w:w="2999" w:type="dxa"/>
            <w:gridSpan w:val="3"/>
            <w:vAlign w:val="center"/>
          </w:tcPr>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mentesség határideje</w:t>
            </w:r>
          </w:p>
        </w:tc>
      </w:tr>
      <w:tr w:rsidR="0086455B">
        <w:tblPrEx>
          <w:tblCellMar>
            <w:top w:w="0" w:type="dxa"/>
            <w:bottom w:w="0" w:type="dxa"/>
          </w:tblCellMar>
        </w:tblPrEx>
        <w:trPr>
          <w:cantSplit/>
          <w:trHeight w:val="294"/>
        </w:trPr>
        <w:tc>
          <w:tcPr>
            <w:tcW w:w="497"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25.</w:t>
            </w:r>
          </w:p>
        </w:tc>
        <w:tc>
          <w:tcPr>
            <w:tcW w:w="3237" w:type="dxa"/>
            <w:gridSpan w:val="3"/>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Rövid </w:t>
            </w:r>
          </w:p>
        </w:tc>
        <w:tc>
          <w:tcPr>
            <w:tcW w:w="1882" w:type="dxa"/>
            <w:gridSpan w:val="4"/>
            <w:vMerge w:val="restart"/>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L </w:t>
            </w:r>
            <w:r>
              <w:rPr>
                <w:rFonts w:ascii="Symbol" w:hAnsi="Symbol" w:cs="Symbol"/>
                <w:sz w:val="20"/>
                <w:szCs w:val="20"/>
              </w:rPr>
              <w:t></w:t>
            </w:r>
            <w:r>
              <w:rPr>
                <w:rFonts w:ascii="Times New Roman" w:hAnsi="Times New Roman" w:cs="Times New Roman"/>
                <w:sz w:val="20"/>
                <w:szCs w:val="20"/>
              </w:rPr>
              <w:t xml:space="preserve"> 500 mm</w:t>
            </w:r>
          </w:p>
        </w:tc>
        <w:tc>
          <w:tcPr>
            <w:tcW w:w="1676" w:type="dxa"/>
            <w:gridSpan w:val="5"/>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999" w:type="dxa"/>
            <w:gridSpan w:val="3"/>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294"/>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882" w:type="dxa"/>
            <w:gridSpan w:val="4"/>
            <w:vMerge/>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1676" w:type="dxa"/>
            <w:gridSpan w:val="5"/>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3,5 mg</w:t>
            </w:r>
          </w:p>
        </w:tc>
        <w:tc>
          <w:tcPr>
            <w:tcW w:w="2999" w:type="dxa"/>
            <w:gridSpan w:val="3"/>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rPr>
          <w:cantSplit/>
          <w:trHeight w:val="294"/>
        </w:trPr>
        <w:tc>
          <w:tcPr>
            <w:tcW w:w="497"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26.</w:t>
            </w:r>
          </w:p>
        </w:tc>
        <w:tc>
          <w:tcPr>
            <w:tcW w:w="3237" w:type="dxa"/>
            <w:gridSpan w:val="3"/>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Közepes hosszúságú</w:t>
            </w:r>
          </w:p>
        </w:tc>
        <w:tc>
          <w:tcPr>
            <w:tcW w:w="1882" w:type="dxa"/>
            <w:gridSpan w:val="4"/>
            <w:vMerge w:val="restart"/>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500 </w:t>
            </w:r>
            <w:proofErr w:type="gramStart"/>
            <w:r>
              <w:rPr>
                <w:rFonts w:ascii="Times New Roman" w:hAnsi="Times New Roman" w:cs="Times New Roman"/>
                <w:sz w:val="20"/>
                <w:szCs w:val="20"/>
              </w:rPr>
              <w:t>mm &gt;</w:t>
            </w:r>
            <w:proofErr w:type="gramEnd"/>
            <w:r>
              <w:rPr>
                <w:rFonts w:ascii="Times New Roman" w:hAnsi="Times New Roman" w:cs="Times New Roman"/>
                <w:sz w:val="20"/>
                <w:szCs w:val="20"/>
              </w:rPr>
              <w:t xml:space="preserve"> L </w:t>
            </w:r>
          </w:p>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L </w:t>
            </w:r>
            <w:r>
              <w:rPr>
                <w:rFonts w:ascii="Symbol" w:hAnsi="Symbol" w:cs="Symbol"/>
                <w:sz w:val="20"/>
                <w:szCs w:val="20"/>
              </w:rPr>
              <w:t></w:t>
            </w:r>
            <w:r>
              <w:rPr>
                <w:rFonts w:ascii="Times New Roman" w:hAnsi="Times New Roman" w:cs="Times New Roman"/>
                <w:sz w:val="20"/>
                <w:szCs w:val="20"/>
              </w:rPr>
              <w:t xml:space="preserve"> 1 500 mm</w:t>
            </w:r>
          </w:p>
        </w:tc>
        <w:tc>
          <w:tcPr>
            <w:tcW w:w="1676" w:type="dxa"/>
            <w:gridSpan w:val="5"/>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999" w:type="dxa"/>
            <w:gridSpan w:val="3"/>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294"/>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882" w:type="dxa"/>
            <w:gridSpan w:val="4"/>
            <w:vMerge/>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1676" w:type="dxa"/>
            <w:gridSpan w:val="5"/>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 mg</w:t>
            </w:r>
          </w:p>
        </w:tc>
        <w:tc>
          <w:tcPr>
            <w:tcW w:w="2999" w:type="dxa"/>
            <w:gridSpan w:val="3"/>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rPr>
          <w:cantSplit/>
          <w:trHeight w:val="294"/>
        </w:trPr>
        <w:tc>
          <w:tcPr>
            <w:tcW w:w="497"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27.</w:t>
            </w:r>
          </w:p>
        </w:tc>
        <w:tc>
          <w:tcPr>
            <w:tcW w:w="3237" w:type="dxa"/>
            <w:gridSpan w:val="3"/>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Hosszú</w:t>
            </w:r>
          </w:p>
        </w:tc>
        <w:tc>
          <w:tcPr>
            <w:tcW w:w="1882" w:type="dxa"/>
            <w:gridSpan w:val="4"/>
            <w:vMerge w:val="restart"/>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L &gt;</w:t>
            </w:r>
            <w:proofErr w:type="gramEnd"/>
            <w:r>
              <w:rPr>
                <w:rFonts w:ascii="Times New Roman" w:hAnsi="Times New Roman" w:cs="Times New Roman"/>
                <w:sz w:val="20"/>
                <w:szCs w:val="20"/>
              </w:rPr>
              <w:t xml:space="preserve"> 1 500 mm</w:t>
            </w:r>
          </w:p>
        </w:tc>
        <w:tc>
          <w:tcPr>
            <w:tcW w:w="1676" w:type="dxa"/>
            <w:gridSpan w:val="5"/>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999" w:type="dxa"/>
            <w:gridSpan w:val="3"/>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294"/>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882" w:type="dxa"/>
            <w:gridSpan w:val="4"/>
            <w:vMerge/>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1676" w:type="dxa"/>
            <w:gridSpan w:val="5"/>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13 mg</w:t>
            </w:r>
          </w:p>
        </w:tc>
        <w:tc>
          <w:tcPr>
            <w:tcW w:w="2999" w:type="dxa"/>
            <w:gridSpan w:val="3"/>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rPr>
          <w:cantSplit/>
          <w:trHeight w:val="294"/>
        </w:trPr>
        <w:tc>
          <w:tcPr>
            <w:tcW w:w="497"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28.</w:t>
            </w:r>
          </w:p>
        </w:tc>
        <w:tc>
          <w:tcPr>
            <w:tcW w:w="3237" w:type="dxa"/>
            <w:gridSpan w:val="3"/>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Egyéb kisnyomású </w:t>
            </w:r>
            <w:proofErr w:type="spellStart"/>
            <w:r>
              <w:rPr>
                <w:rFonts w:ascii="Times New Roman" w:hAnsi="Times New Roman" w:cs="Times New Roman"/>
                <w:sz w:val="20"/>
                <w:szCs w:val="20"/>
              </w:rPr>
              <w:t>kisülőlámpák</w:t>
            </w:r>
            <w:proofErr w:type="spellEnd"/>
            <w:r>
              <w:rPr>
                <w:rFonts w:ascii="Times New Roman" w:hAnsi="Times New Roman" w:cs="Times New Roman"/>
                <w:sz w:val="20"/>
                <w:szCs w:val="20"/>
              </w:rPr>
              <w:t xml:space="preserve">   </w:t>
            </w:r>
          </w:p>
        </w:tc>
        <w:tc>
          <w:tcPr>
            <w:tcW w:w="1882" w:type="dxa"/>
            <w:gridSpan w:val="4"/>
            <w:vMerge w:val="restart"/>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676" w:type="dxa"/>
            <w:gridSpan w:val="5"/>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999" w:type="dxa"/>
            <w:gridSpan w:val="3"/>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294"/>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882" w:type="dxa"/>
            <w:gridSpan w:val="4"/>
            <w:vMerge/>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p>
        </w:tc>
        <w:tc>
          <w:tcPr>
            <w:tcW w:w="1676" w:type="dxa"/>
            <w:gridSpan w:val="5"/>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15 mg</w:t>
            </w:r>
          </w:p>
        </w:tc>
        <w:tc>
          <w:tcPr>
            <w:tcW w:w="2999" w:type="dxa"/>
            <w:gridSpan w:val="3"/>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rPr>
          <w:trHeight w:val="468"/>
        </w:trPr>
        <w:tc>
          <w:tcPr>
            <w:tcW w:w="497"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29.</w:t>
            </w:r>
          </w:p>
        </w:tc>
        <w:tc>
          <w:tcPr>
            <w:tcW w:w="9794" w:type="dxa"/>
            <w:gridSpan w:val="15"/>
          </w:tcPr>
          <w:p w:rsidR="0086455B" w:rsidRDefault="0086455B">
            <w:pPr>
              <w:autoSpaceDE w:val="0"/>
              <w:autoSpaceDN w:val="0"/>
              <w:adjustRightInd w:val="0"/>
              <w:spacing w:before="40" w:after="20" w:line="240" w:lineRule="auto"/>
              <w:ind w:left="300" w:hanging="300"/>
              <w:rPr>
                <w:rFonts w:ascii="Times New Roman" w:hAnsi="Times New Roman" w:cs="Times New Roman"/>
                <w:b/>
                <w:bCs/>
                <w:color w:val="000000"/>
                <w:sz w:val="20"/>
                <w:szCs w:val="20"/>
              </w:rPr>
            </w:pPr>
            <w:r>
              <w:rPr>
                <w:rFonts w:ascii="Times New Roman" w:hAnsi="Times New Roman" w:cs="Times New Roman"/>
                <w:b/>
                <w:bCs/>
                <w:color w:val="000000"/>
                <w:sz w:val="20"/>
                <w:szCs w:val="20"/>
              </w:rPr>
              <w:t>e)</w:t>
            </w:r>
            <w:r>
              <w:rPr>
                <w:rFonts w:ascii="Times New Roman" w:hAnsi="Times New Roman" w:cs="Times New Roman"/>
                <w:b/>
                <w:bCs/>
                <w:color w:val="000000"/>
                <w:sz w:val="20"/>
                <w:szCs w:val="20"/>
              </w:rPr>
              <w:tab/>
              <w:t>Általános világítási célra szolgáló, javított színvisszaadási mutatójú (</w:t>
            </w:r>
            <w:proofErr w:type="spellStart"/>
            <w:proofErr w:type="gramStart"/>
            <w:r>
              <w:rPr>
                <w:rFonts w:ascii="Times New Roman" w:hAnsi="Times New Roman" w:cs="Times New Roman"/>
                <w:b/>
                <w:bCs/>
                <w:color w:val="000000"/>
                <w:sz w:val="20"/>
                <w:szCs w:val="20"/>
              </w:rPr>
              <w:t>Ra</w:t>
            </w:r>
            <w:proofErr w:type="spellEnd"/>
            <w:r>
              <w:rPr>
                <w:rFonts w:ascii="Times New Roman" w:hAnsi="Times New Roman" w:cs="Times New Roman"/>
                <w:b/>
                <w:bCs/>
                <w:color w:val="000000"/>
                <w:sz w:val="20"/>
                <w:szCs w:val="20"/>
              </w:rPr>
              <w:t xml:space="preserve"> &gt;</w:t>
            </w:r>
            <w:proofErr w:type="gramEnd"/>
            <w:r>
              <w:rPr>
                <w:rFonts w:ascii="Times New Roman" w:hAnsi="Times New Roman" w:cs="Times New Roman"/>
                <w:b/>
                <w:bCs/>
                <w:color w:val="000000"/>
                <w:sz w:val="20"/>
                <w:szCs w:val="20"/>
              </w:rPr>
              <w:t xml:space="preserve"> 60), nagynyomású nátrium(gőz)lámpákban használt higany, amelynek megengedett mennyisége (égőnként): </w:t>
            </w:r>
          </w:p>
        </w:tc>
      </w:tr>
      <w:tr w:rsidR="0086455B">
        <w:tblPrEx>
          <w:tblCellMar>
            <w:top w:w="0" w:type="dxa"/>
            <w:bottom w:w="0" w:type="dxa"/>
          </w:tblCellMar>
        </w:tblPrEx>
        <w:trPr>
          <w:trHeight w:val="294"/>
        </w:trPr>
        <w:tc>
          <w:tcPr>
            <w:tcW w:w="497"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30.</w:t>
            </w:r>
          </w:p>
        </w:tc>
        <w:tc>
          <w:tcPr>
            <w:tcW w:w="3237" w:type="dxa"/>
            <w:gridSpan w:val="3"/>
          </w:tcPr>
          <w:p w:rsidR="0086455B" w:rsidRDefault="0086455B">
            <w:pPr>
              <w:autoSpaceDE w:val="0"/>
              <w:autoSpaceDN w:val="0"/>
              <w:adjustRightInd w:val="0"/>
              <w:spacing w:before="40" w:after="20" w:line="240" w:lineRule="auto"/>
              <w:rPr>
                <w:rFonts w:ascii="Times New Roman" w:hAnsi="Times New Roman" w:cs="Times New Roman"/>
                <w:b/>
                <w:bCs/>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Típus</w:t>
            </w:r>
          </w:p>
        </w:tc>
        <w:tc>
          <w:tcPr>
            <w:tcW w:w="1866" w:type="dxa"/>
            <w:gridSpan w:val="3"/>
          </w:tcPr>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P</w:t>
            </w:r>
          </w:p>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Teljesítmény</w:t>
            </w:r>
          </w:p>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W</w:t>
            </w:r>
          </w:p>
        </w:tc>
        <w:tc>
          <w:tcPr>
            <w:tcW w:w="1692" w:type="dxa"/>
            <w:gridSpan w:val="6"/>
          </w:tcPr>
          <w:p w:rsidR="0086455B" w:rsidRDefault="0086455B">
            <w:pPr>
              <w:autoSpaceDE w:val="0"/>
              <w:autoSpaceDN w:val="0"/>
              <w:adjustRightInd w:val="0"/>
              <w:spacing w:before="40" w:after="2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 xml:space="preserve">Maximális </w:t>
            </w:r>
            <w:r>
              <w:rPr>
                <w:rFonts w:ascii="Times New Roman" w:hAnsi="Times New Roman" w:cs="Times New Roman"/>
                <w:b/>
                <w:bCs/>
                <w:color w:val="000000"/>
                <w:sz w:val="20"/>
                <w:szCs w:val="20"/>
              </w:rPr>
              <w:lastRenderedPageBreak/>
              <w:t>megengedett koncentráció</w:t>
            </w:r>
          </w:p>
        </w:tc>
        <w:tc>
          <w:tcPr>
            <w:tcW w:w="2999" w:type="dxa"/>
            <w:gridSpan w:val="3"/>
            <w:vAlign w:val="center"/>
          </w:tcPr>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A mentesség határideje</w:t>
            </w:r>
          </w:p>
        </w:tc>
      </w:tr>
      <w:tr w:rsidR="0086455B">
        <w:tblPrEx>
          <w:tblCellMar>
            <w:top w:w="0" w:type="dxa"/>
            <w:bottom w:w="0" w:type="dxa"/>
          </w:tblCellMar>
        </w:tblPrEx>
        <w:trPr>
          <w:cantSplit/>
          <w:trHeight w:val="348"/>
        </w:trPr>
        <w:tc>
          <w:tcPr>
            <w:tcW w:w="497"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lastRenderedPageBreak/>
              <w:t>31.</w:t>
            </w:r>
          </w:p>
        </w:tc>
        <w:tc>
          <w:tcPr>
            <w:tcW w:w="3237" w:type="dxa"/>
            <w:gridSpan w:val="3"/>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866" w:type="dxa"/>
            <w:gridSpan w:val="3"/>
            <w:vMerge w:val="restart"/>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P </w:t>
            </w:r>
            <w:r>
              <w:rPr>
                <w:rFonts w:ascii="Symbol" w:hAnsi="Symbol" w:cs="Symbol"/>
                <w:sz w:val="20"/>
                <w:szCs w:val="20"/>
              </w:rPr>
              <w:t></w:t>
            </w:r>
            <w:r>
              <w:rPr>
                <w:rFonts w:ascii="Times New Roman" w:hAnsi="Times New Roman" w:cs="Times New Roman"/>
                <w:sz w:val="20"/>
                <w:szCs w:val="20"/>
              </w:rPr>
              <w:t xml:space="preserve"> 155 W</w:t>
            </w:r>
          </w:p>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1692"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999" w:type="dxa"/>
            <w:gridSpan w:val="3"/>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348"/>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866" w:type="dxa"/>
            <w:gridSpan w:val="3"/>
            <w:vMerge/>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1692"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30 mg</w:t>
            </w:r>
          </w:p>
        </w:tc>
        <w:tc>
          <w:tcPr>
            <w:tcW w:w="2999" w:type="dxa"/>
            <w:gridSpan w:val="3"/>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rPr>
          <w:cantSplit/>
          <w:trHeight w:val="348"/>
        </w:trPr>
        <w:tc>
          <w:tcPr>
            <w:tcW w:w="497"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32.</w:t>
            </w:r>
          </w:p>
        </w:tc>
        <w:tc>
          <w:tcPr>
            <w:tcW w:w="3237" w:type="dxa"/>
            <w:gridSpan w:val="3"/>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866" w:type="dxa"/>
            <w:gridSpan w:val="3"/>
            <w:vMerge w:val="restart"/>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155 W </w:t>
            </w:r>
            <w:proofErr w:type="gramStart"/>
            <w:r>
              <w:rPr>
                <w:rFonts w:ascii="Times New Roman" w:hAnsi="Times New Roman" w:cs="Times New Roman"/>
                <w:sz w:val="20"/>
                <w:szCs w:val="20"/>
              </w:rPr>
              <w:t>&lt; P</w:t>
            </w:r>
            <w:proofErr w:type="gramEnd"/>
            <w:r>
              <w:rPr>
                <w:rFonts w:ascii="Times New Roman" w:hAnsi="Times New Roman" w:cs="Times New Roman"/>
                <w:sz w:val="20"/>
                <w:szCs w:val="20"/>
              </w:rPr>
              <w:t xml:space="preserve"> </w:t>
            </w:r>
            <w:r>
              <w:rPr>
                <w:rFonts w:ascii="Symbol" w:hAnsi="Symbol" w:cs="Symbol"/>
                <w:sz w:val="20"/>
                <w:szCs w:val="20"/>
              </w:rPr>
              <w:t></w:t>
            </w:r>
            <w:r>
              <w:rPr>
                <w:rFonts w:ascii="Times New Roman" w:hAnsi="Times New Roman" w:cs="Times New Roman"/>
                <w:sz w:val="20"/>
                <w:szCs w:val="20"/>
              </w:rPr>
              <w:t xml:space="preserve"> 405 W</w:t>
            </w:r>
          </w:p>
        </w:tc>
        <w:tc>
          <w:tcPr>
            <w:tcW w:w="1692"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999" w:type="dxa"/>
            <w:gridSpan w:val="3"/>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348"/>
        </w:trPr>
        <w:tc>
          <w:tcPr>
            <w:tcW w:w="497"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37" w:type="dxa"/>
            <w:gridSpan w:val="3"/>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866" w:type="dxa"/>
            <w:gridSpan w:val="3"/>
            <w:vMerge/>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1692"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40 mg</w:t>
            </w:r>
          </w:p>
        </w:tc>
        <w:tc>
          <w:tcPr>
            <w:tcW w:w="2999" w:type="dxa"/>
            <w:gridSpan w:val="3"/>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rPr>
          <w:cantSplit/>
          <w:trHeight w:val="348"/>
        </w:trPr>
        <w:tc>
          <w:tcPr>
            <w:tcW w:w="512" w:type="dxa"/>
            <w:gridSpan w:val="2"/>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33.</w:t>
            </w:r>
          </w:p>
        </w:tc>
        <w:tc>
          <w:tcPr>
            <w:tcW w:w="3223" w:type="dxa"/>
            <w:gridSpan w:val="2"/>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865" w:type="dxa"/>
            <w:gridSpan w:val="3"/>
            <w:vMerge w:val="restart"/>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P &gt;</w:t>
            </w:r>
            <w:proofErr w:type="gramEnd"/>
            <w:r>
              <w:rPr>
                <w:rFonts w:ascii="Times New Roman" w:hAnsi="Times New Roman" w:cs="Times New Roman"/>
                <w:sz w:val="20"/>
                <w:szCs w:val="20"/>
              </w:rPr>
              <w:t xml:space="preserve"> 405 W</w:t>
            </w:r>
          </w:p>
        </w:tc>
        <w:tc>
          <w:tcPr>
            <w:tcW w:w="1694"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997" w:type="dxa"/>
            <w:gridSpan w:val="3"/>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348"/>
        </w:trPr>
        <w:tc>
          <w:tcPr>
            <w:tcW w:w="512" w:type="dxa"/>
            <w:gridSpan w:val="2"/>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223" w:type="dxa"/>
            <w:gridSpan w:val="2"/>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865" w:type="dxa"/>
            <w:gridSpan w:val="3"/>
            <w:vMerge/>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1694"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40 mg</w:t>
            </w:r>
          </w:p>
        </w:tc>
        <w:tc>
          <w:tcPr>
            <w:tcW w:w="2997" w:type="dxa"/>
            <w:gridSpan w:val="3"/>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34.</w:t>
            </w:r>
          </w:p>
        </w:tc>
        <w:tc>
          <w:tcPr>
            <w:tcW w:w="9779" w:type="dxa"/>
            <w:gridSpan w:val="14"/>
          </w:tcPr>
          <w:p w:rsidR="0086455B" w:rsidRDefault="0086455B">
            <w:pPr>
              <w:autoSpaceDE w:val="0"/>
              <w:autoSpaceDN w:val="0"/>
              <w:adjustRightInd w:val="0"/>
              <w:spacing w:before="40" w:after="20" w:line="240" w:lineRule="auto"/>
              <w:ind w:left="300" w:hanging="300"/>
              <w:rPr>
                <w:rFonts w:ascii="Times New Roman" w:hAnsi="Times New Roman" w:cs="Times New Roman"/>
                <w:b/>
                <w:bCs/>
                <w:color w:val="000000"/>
                <w:sz w:val="20"/>
                <w:szCs w:val="20"/>
              </w:rPr>
            </w:pPr>
            <w:r>
              <w:rPr>
                <w:rFonts w:ascii="Times New Roman" w:hAnsi="Times New Roman" w:cs="Times New Roman"/>
                <w:b/>
                <w:bCs/>
                <w:color w:val="000000"/>
                <w:sz w:val="20"/>
                <w:szCs w:val="20"/>
              </w:rPr>
              <w:t>f)</w:t>
            </w:r>
            <w:r>
              <w:rPr>
                <w:rFonts w:ascii="Times New Roman" w:hAnsi="Times New Roman" w:cs="Times New Roman"/>
                <w:b/>
                <w:bCs/>
                <w:color w:val="000000"/>
                <w:sz w:val="20"/>
                <w:szCs w:val="20"/>
              </w:rPr>
              <w:tab/>
              <w:t xml:space="preserve">Egyéb általános világítási célra szolgáló nagynyomású </w:t>
            </w:r>
            <w:proofErr w:type="gramStart"/>
            <w:r>
              <w:rPr>
                <w:rFonts w:ascii="Times New Roman" w:hAnsi="Times New Roman" w:cs="Times New Roman"/>
                <w:b/>
                <w:bCs/>
                <w:color w:val="000000"/>
                <w:sz w:val="20"/>
                <w:szCs w:val="20"/>
              </w:rPr>
              <w:t>nátrium(</w:t>
            </w:r>
            <w:proofErr w:type="gramEnd"/>
            <w:r>
              <w:rPr>
                <w:rFonts w:ascii="Times New Roman" w:hAnsi="Times New Roman" w:cs="Times New Roman"/>
                <w:b/>
                <w:bCs/>
                <w:color w:val="000000"/>
                <w:sz w:val="20"/>
                <w:szCs w:val="20"/>
              </w:rPr>
              <w:t>gőz)lámpákban használt higany, amelynek  megengedett mennyisége (égőnként):</w:t>
            </w:r>
          </w:p>
        </w:tc>
      </w:tr>
      <w:tr w:rsidR="0086455B">
        <w:tblPrEx>
          <w:tblCellMar>
            <w:top w:w="0" w:type="dxa"/>
            <w:bottom w:w="0" w:type="dxa"/>
          </w:tblCellMar>
        </w:tblPrEx>
        <w:trPr>
          <w:cantSplit/>
          <w:trHeight w:val="390"/>
        </w:trPr>
        <w:tc>
          <w:tcPr>
            <w:tcW w:w="512" w:type="dxa"/>
            <w:gridSpan w:val="2"/>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35.</w:t>
            </w:r>
          </w:p>
        </w:tc>
        <w:tc>
          <w:tcPr>
            <w:tcW w:w="3081"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71" w:type="dxa"/>
            <w:gridSpan w:val="3"/>
            <w:vMerge w:val="restart"/>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P </w:t>
            </w:r>
            <w:r>
              <w:rPr>
                <w:rFonts w:ascii="Symbol" w:hAnsi="Symbol" w:cs="Symbol"/>
                <w:sz w:val="20"/>
                <w:szCs w:val="20"/>
              </w:rPr>
              <w:t></w:t>
            </w:r>
            <w:r>
              <w:rPr>
                <w:rFonts w:ascii="Times New Roman" w:hAnsi="Times New Roman" w:cs="Times New Roman"/>
                <w:sz w:val="20"/>
                <w:szCs w:val="20"/>
              </w:rPr>
              <w:t xml:space="preserve"> 155 W</w:t>
            </w:r>
          </w:p>
        </w:tc>
        <w:tc>
          <w:tcPr>
            <w:tcW w:w="1611"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3116" w:type="dxa"/>
            <w:gridSpan w:val="4"/>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390"/>
        </w:trPr>
        <w:tc>
          <w:tcPr>
            <w:tcW w:w="512" w:type="dxa"/>
            <w:gridSpan w:val="2"/>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081"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71" w:type="dxa"/>
            <w:gridSpan w:val="3"/>
            <w:vMerge/>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1611"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25 mg</w:t>
            </w:r>
          </w:p>
        </w:tc>
        <w:tc>
          <w:tcPr>
            <w:tcW w:w="3116" w:type="dxa"/>
            <w:gridSpan w:val="4"/>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rPr>
          <w:cantSplit/>
          <w:trHeight w:val="390"/>
        </w:trPr>
        <w:tc>
          <w:tcPr>
            <w:tcW w:w="512" w:type="dxa"/>
            <w:gridSpan w:val="2"/>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36.</w:t>
            </w:r>
          </w:p>
        </w:tc>
        <w:tc>
          <w:tcPr>
            <w:tcW w:w="3081"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71" w:type="dxa"/>
            <w:gridSpan w:val="3"/>
            <w:vMerge w:val="restart"/>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155 W </w:t>
            </w:r>
            <w:proofErr w:type="gramStart"/>
            <w:r>
              <w:rPr>
                <w:rFonts w:ascii="Times New Roman" w:hAnsi="Times New Roman" w:cs="Times New Roman"/>
                <w:sz w:val="20"/>
                <w:szCs w:val="20"/>
              </w:rPr>
              <w:t>&lt; P</w:t>
            </w:r>
            <w:proofErr w:type="gramEnd"/>
            <w:r>
              <w:rPr>
                <w:rFonts w:ascii="Times New Roman" w:hAnsi="Times New Roman" w:cs="Times New Roman"/>
                <w:sz w:val="20"/>
                <w:szCs w:val="20"/>
              </w:rPr>
              <w:t xml:space="preserve"> </w:t>
            </w:r>
            <w:r>
              <w:rPr>
                <w:rFonts w:ascii="Symbol" w:hAnsi="Symbol" w:cs="Symbol"/>
                <w:sz w:val="20"/>
                <w:szCs w:val="20"/>
              </w:rPr>
              <w:t></w:t>
            </w:r>
            <w:r>
              <w:rPr>
                <w:rFonts w:ascii="Times New Roman" w:hAnsi="Times New Roman" w:cs="Times New Roman"/>
                <w:sz w:val="20"/>
                <w:szCs w:val="20"/>
              </w:rPr>
              <w:t xml:space="preserve"> 405 W</w:t>
            </w:r>
          </w:p>
        </w:tc>
        <w:tc>
          <w:tcPr>
            <w:tcW w:w="1611"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3116" w:type="dxa"/>
            <w:gridSpan w:val="4"/>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390"/>
        </w:trPr>
        <w:tc>
          <w:tcPr>
            <w:tcW w:w="512" w:type="dxa"/>
            <w:gridSpan w:val="2"/>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081"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71" w:type="dxa"/>
            <w:gridSpan w:val="3"/>
            <w:vMerge/>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1611"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30 mg</w:t>
            </w:r>
          </w:p>
        </w:tc>
        <w:tc>
          <w:tcPr>
            <w:tcW w:w="3116" w:type="dxa"/>
            <w:gridSpan w:val="4"/>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rPr>
          <w:cantSplit/>
          <w:trHeight w:val="390"/>
        </w:trPr>
        <w:tc>
          <w:tcPr>
            <w:tcW w:w="512" w:type="dxa"/>
            <w:gridSpan w:val="2"/>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37.</w:t>
            </w:r>
          </w:p>
        </w:tc>
        <w:tc>
          <w:tcPr>
            <w:tcW w:w="3081" w:type="dxa"/>
            <w:vMerge w:val="restart"/>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71" w:type="dxa"/>
            <w:gridSpan w:val="3"/>
            <w:vMerge w:val="restart"/>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P &gt;</w:t>
            </w:r>
            <w:proofErr w:type="gramEnd"/>
            <w:r>
              <w:rPr>
                <w:rFonts w:ascii="Times New Roman" w:hAnsi="Times New Roman" w:cs="Times New Roman"/>
                <w:sz w:val="20"/>
                <w:szCs w:val="20"/>
              </w:rPr>
              <w:t xml:space="preserve"> 405 W</w:t>
            </w:r>
          </w:p>
        </w:tc>
        <w:tc>
          <w:tcPr>
            <w:tcW w:w="1611"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3116" w:type="dxa"/>
            <w:gridSpan w:val="4"/>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2011. december 31-ig</w:t>
            </w:r>
          </w:p>
        </w:tc>
      </w:tr>
      <w:tr w:rsidR="0086455B">
        <w:tblPrEx>
          <w:tblCellMar>
            <w:top w:w="0" w:type="dxa"/>
            <w:bottom w:w="0" w:type="dxa"/>
          </w:tblCellMar>
        </w:tblPrEx>
        <w:trPr>
          <w:cantSplit/>
          <w:trHeight w:val="390"/>
        </w:trPr>
        <w:tc>
          <w:tcPr>
            <w:tcW w:w="512" w:type="dxa"/>
            <w:gridSpan w:val="2"/>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3081" w:type="dxa"/>
            <w:vMerge/>
          </w:tcPr>
          <w:p w:rsidR="0086455B" w:rsidRDefault="0086455B">
            <w:pPr>
              <w:autoSpaceDE w:val="0"/>
              <w:autoSpaceDN w:val="0"/>
              <w:adjustRightInd w:val="0"/>
              <w:spacing w:before="40" w:after="20" w:line="240" w:lineRule="auto"/>
              <w:rPr>
                <w:rFonts w:ascii="Times New Roman" w:hAnsi="Times New Roman" w:cs="Times New Roman"/>
                <w:sz w:val="20"/>
                <w:szCs w:val="20"/>
              </w:rPr>
            </w:pPr>
          </w:p>
        </w:tc>
        <w:tc>
          <w:tcPr>
            <w:tcW w:w="1971" w:type="dxa"/>
            <w:gridSpan w:val="3"/>
            <w:vMerge/>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1611"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40 mg</w:t>
            </w:r>
          </w:p>
        </w:tc>
        <w:tc>
          <w:tcPr>
            <w:tcW w:w="3116" w:type="dxa"/>
            <w:gridSpan w:val="4"/>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2012. január 1-jétől</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38.</w:t>
            </w:r>
          </w:p>
        </w:tc>
        <w:tc>
          <w:tcPr>
            <w:tcW w:w="3081"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Nagynyomású </w:t>
            </w:r>
            <w:proofErr w:type="gramStart"/>
            <w:r>
              <w:rPr>
                <w:rFonts w:ascii="Times New Roman" w:hAnsi="Times New Roman" w:cs="Times New Roman"/>
                <w:sz w:val="20"/>
                <w:szCs w:val="20"/>
              </w:rPr>
              <w:t>higany(</w:t>
            </w:r>
            <w:proofErr w:type="gramEnd"/>
            <w:r>
              <w:rPr>
                <w:rFonts w:ascii="Times New Roman" w:hAnsi="Times New Roman" w:cs="Times New Roman"/>
                <w:sz w:val="20"/>
                <w:szCs w:val="20"/>
              </w:rPr>
              <w:t>gőz)lámpákban (HPMV) használt higany</w:t>
            </w:r>
          </w:p>
        </w:tc>
        <w:tc>
          <w:tcPr>
            <w:tcW w:w="1971" w:type="dxa"/>
            <w:gridSpan w:val="3"/>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611"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3116" w:type="dxa"/>
            <w:gridSpan w:val="4"/>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2015. április 13-ig</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39.</w:t>
            </w:r>
          </w:p>
        </w:tc>
        <w:tc>
          <w:tcPr>
            <w:tcW w:w="3081"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proofErr w:type="spellStart"/>
            <w:r>
              <w:rPr>
                <w:rFonts w:ascii="Times New Roman" w:hAnsi="Times New Roman" w:cs="Times New Roman"/>
                <w:sz w:val="20"/>
                <w:szCs w:val="20"/>
              </w:rPr>
              <w:t>Fémhalogén</w:t>
            </w:r>
            <w:proofErr w:type="spellEnd"/>
            <w:r>
              <w:rPr>
                <w:rFonts w:ascii="Times New Roman" w:hAnsi="Times New Roman" w:cs="Times New Roman"/>
                <w:sz w:val="20"/>
                <w:szCs w:val="20"/>
              </w:rPr>
              <w:t xml:space="preserve"> (MH) lámpákban használt higany</w:t>
            </w:r>
          </w:p>
        </w:tc>
        <w:tc>
          <w:tcPr>
            <w:tcW w:w="1971" w:type="dxa"/>
            <w:gridSpan w:val="3"/>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611"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3116" w:type="dxa"/>
            <w:gridSpan w:val="4"/>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40.</w:t>
            </w:r>
          </w:p>
        </w:tc>
        <w:tc>
          <w:tcPr>
            <w:tcW w:w="3081"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Az e mellékletben külön nem említett, különleges rendeltetésű egyéb </w:t>
            </w:r>
            <w:proofErr w:type="spellStart"/>
            <w:r>
              <w:rPr>
                <w:rFonts w:ascii="Times New Roman" w:hAnsi="Times New Roman" w:cs="Times New Roman"/>
                <w:sz w:val="20"/>
                <w:szCs w:val="20"/>
              </w:rPr>
              <w:t>kisülőlámpákban</w:t>
            </w:r>
            <w:proofErr w:type="spellEnd"/>
            <w:r>
              <w:rPr>
                <w:rFonts w:ascii="Times New Roman" w:hAnsi="Times New Roman" w:cs="Times New Roman"/>
                <w:sz w:val="20"/>
                <w:szCs w:val="20"/>
              </w:rPr>
              <w:t xml:space="preserve"> használt higany </w:t>
            </w:r>
          </w:p>
        </w:tc>
        <w:tc>
          <w:tcPr>
            <w:tcW w:w="1971" w:type="dxa"/>
            <w:gridSpan w:val="3"/>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611" w:type="dxa"/>
            <w:gridSpan w:val="6"/>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3116" w:type="dxa"/>
            <w:gridSpan w:val="4"/>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rPr>
          <w:trHeight w:val="250"/>
        </w:trPr>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41.</w:t>
            </w:r>
          </w:p>
        </w:tc>
        <w:tc>
          <w:tcPr>
            <w:tcW w:w="9779" w:type="dxa"/>
            <w:gridSpan w:val="14"/>
          </w:tcPr>
          <w:p w:rsidR="0086455B" w:rsidRDefault="0086455B">
            <w:pPr>
              <w:autoSpaceDE w:val="0"/>
              <w:autoSpaceDN w:val="0"/>
              <w:adjustRightInd w:val="0"/>
              <w:spacing w:before="40" w:after="2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II. ÓLOM </w:t>
            </w:r>
            <w:proofErr w:type="gramStart"/>
            <w:r>
              <w:rPr>
                <w:rFonts w:ascii="Times New Roman" w:hAnsi="Times New Roman" w:cs="Times New Roman"/>
                <w:b/>
                <w:bCs/>
                <w:i/>
                <w:iCs/>
                <w:color w:val="000000"/>
                <w:sz w:val="20"/>
                <w:szCs w:val="20"/>
              </w:rPr>
              <w:t>ÉS</w:t>
            </w:r>
            <w:proofErr w:type="gramEnd"/>
            <w:r>
              <w:rPr>
                <w:rFonts w:ascii="Times New Roman" w:hAnsi="Times New Roman" w:cs="Times New Roman"/>
                <w:b/>
                <w:bCs/>
                <w:i/>
                <w:iCs/>
                <w:color w:val="000000"/>
                <w:sz w:val="20"/>
                <w:szCs w:val="20"/>
              </w:rPr>
              <w:t xml:space="preserve"> ÓLOMVEGYÜLET-TARTALOMRA VONATKOZÓ MENTESSÉGEK</w:t>
            </w:r>
          </w:p>
        </w:tc>
      </w:tr>
      <w:tr w:rsidR="0086455B">
        <w:tblPrEx>
          <w:tblCellMar>
            <w:top w:w="0" w:type="dxa"/>
            <w:bottom w:w="0" w:type="dxa"/>
          </w:tblCellMar>
        </w:tblPrEx>
        <w:trPr>
          <w:trHeight w:val="135"/>
        </w:trPr>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42.</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b/>
                <w:bCs/>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Típus</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Maximális megengedett koncentráció</w:t>
            </w:r>
          </w:p>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tömegszázalék</w:t>
            </w:r>
          </w:p>
        </w:tc>
        <w:tc>
          <w:tcPr>
            <w:tcW w:w="2833" w:type="dxa"/>
          </w:tcPr>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mentesség határideje</w:t>
            </w:r>
          </w:p>
        </w:tc>
      </w:tr>
      <w:tr w:rsidR="0086455B">
        <w:tblPrEx>
          <w:tblCellMar>
            <w:top w:w="0" w:type="dxa"/>
            <w:bottom w:w="0" w:type="dxa"/>
          </w:tblCellMar>
        </w:tblPrEx>
        <w:trPr>
          <w:trHeight w:val="135"/>
        </w:trPr>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43.</w:t>
            </w:r>
          </w:p>
        </w:tc>
        <w:tc>
          <w:tcPr>
            <w:tcW w:w="5023" w:type="dxa"/>
            <w:gridSpan w:val="3"/>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Katódsugárcsövek üvegében használt ólom</w:t>
            </w:r>
          </w:p>
        </w:tc>
        <w:tc>
          <w:tcPr>
            <w:tcW w:w="1923" w:type="dxa"/>
            <w:gridSpan w:val="10"/>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44.</w:t>
            </w:r>
          </w:p>
        </w:tc>
        <w:tc>
          <w:tcPr>
            <w:tcW w:w="5023" w:type="dxa"/>
            <w:gridSpan w:val="3"/>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Fénycsövek üvegében használt ólom</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Symbol" w:hAnsi="Symbol" w:cs="Symbol"/>
                <w:sz w:val="20"/>
                <w:szCs w:val="20"/>
              </w:rPr>
              <w:t></w:t>
            </w:r>
            <w:r>
              <w:rPr>
                <w:rFonts w:ascii="Times New Roman" w:hAnsi="Times New Roman" w:cs="Times New Roman"/>
                <w:sz w:val="20"/>
                <w:szCs w:val="20"/>
              </w:rPr>
              <w:t xml:space="preserve"> 0,2 m/m %</w:t>
            </w:r>
          </w:p>
        </w:tc>
        <w:tc>
          <w:tcPr>
            <w:tcW w:w="2833"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45.</w:t>
            </w:r>
          </w:p>
        </w:tc>
        <w:tc>
          <w:tcPr>
            <w:tcW w:w="5023" w:type="dxa"/>
            <w:gridSpan w:val="3"/>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Ólom a megmunkálásra szánt acél ötvözőelemeként, illetve galvanizált acélban</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Symbol" w:hAnsi="Symbol" w:cs="Symbol"/>
                <w:sz w:val="20"/>
                <w:szCs w:val="20"/>
              </w:rPr>
              <w:t></w:t>
            </w:r>
            <w:r>
              <w:rPr>
                <w:rFonts w:ascii="Times New Roman" w:hAnsi="Times New Roman" w:cs="Times New Roman"/>
                <w:sz w:val="20"/>
                <w:szCs w:val="20"/>
              </w:rPr>
              <w:t xml:space="preserve"> 0,35 m/m %</w:t>
            </w:r>
          </w:p>
        </w:tc>
        <w:tc>
          <w:tcPr>
            <w:tcW w:w="2833"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46.</w:t>
            </w:r>
          </w:p>
        </w:tc>
        <w:tc>
          <w:tcPr>
            <w:tcW w:w="5023" w:type="dxa"/>
            <w:gridSpan w:val="3"/>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Ólom az alumínium ötvözőelemeként</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Symbol" w:hAnsi="Symbol" w:cs="Symbol"/>
                <w:sz w:val="20"/>
                <w:szCs w:val="20"/>
              </w:rPr>
              <w:t></w:t>
            </w:r>
            <w:r>
              <w:rPr>
                <w:rFonts w:ascii="Times New Roman" w:hAnsi="Times New Roman" w:cs="Times New Roman"/>
                <w:sz w:val="20"/>
                <w:szCs w:val="20"/>
              </w:rPr>
              <w:t xml:space="preserve"> 0,4 m/m %</w:t>
            </w:r>
          </w:p>
        </w:tc>
        <w:tc>
          <w:tcPr>
            <w:tcW w:w="2833"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47.</w:t>
            </w:r>
          </w:p>
        </w:tc>
        <w:tc>
          <w:tcPr>
            <w:tcW w:w="5023" w:type="dxa"/>
            <w:gridSpan w:val="3"/>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Rézötvözet</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Symbol" w:hAnsi="Symbol" w:cs="Symbol"/>
                <w:sz w:val="20"/>
                <w:szCs w:val="20"/>
              </w:rPr>
              <w:t></w:t>
            </w:r>
            <w:r>
              <w:rPr>
                <w:rFonts w:ascii="Times New Roman" w:hAnsi="Times New Roman" w:cs="Times New Roman"/>
                <w:sz w:val="20"/>
                <w:szCs w:val="20"/>
              </w:rPr>
              <w:t xml:space="preserve"> 4 m/m %</w:t>
            </w:r>
          </w:p>
        </w:tc>
        <w:tc>
          <w:tcPr>
            <w:tcW w:w="2833"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48.</w:t>
            </w:r>
          </w:p>
        </w:tc>
        <w:tc>
          <w:tcPr>
            <w:tcW w:w="5023" w:type="dxa"/>
            <w:gridSpan w:val="3"/>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Magas olvadáspontú, ólomtartalmú forraszanyagok (azaz olyan ólomötvözetek, amelyek legalább 85 tömegszázalékban tartalmaznak ólmot)</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tc>
        <w:tc>
          <w:tcPr>
            <w:tcW w:w="2833"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49.</w:t>
            </w:r>
          </w:p>
        </w:tc>
        <w:tc>
          <w:tcPr>
            <w:tcW w:w="5023" w:type="dxa"/>
            <w:gridSpan w:val="3"/>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A szerverekben, az adattároló rendszerekben, a tárolási és elrendezési rendszerekben, a hálózati </w:t>
            </w:r>
            <w:proofErr w:type="gramStart"/>
            <w:r>
              <w:rPr>
                <w:rFonts w:ascii="Times New Roman" w:hAnsi="Times New Roman" w:cs="Times New Roman"/>
                <w:sz w:val="20"/>
                <w:szCs w:val="20"/>
              </w:rPr>
              <w:t>infrastruktúra kapcsoló</w:t>
            </w:r>
            <w:proofErr w:type="gramEnd"/>
            <w:r>
              <w:rPr>
                <w:rFonts w:ascii="Times New Roman" w:hAnsi="Times New Roman" w:cs="Times New Roman"/>
                <w:sz w:val="20"/>
                <w:szCs w:val="20"/>
              </w:rPr>
              <w:t>, jelző és adatátviteli berendezéseiben és a távközlési hálózatok hálózatkezelése során használt forrasztóanyagokban lévő ólom</w:t>
            </w:r>
          </w:p>
        </w:tc>
        <w:tc>
          <w:tcPr>
            <w:tcW w:w="1923" w:type="dxa"/>
            <w:gridSpan w:val="10"/>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50.</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Elektronikus és elektromos alkatrészek, amelyek üvegben vagy kerámiában, de nem a kondenzátorokban, például </w:t>
            </w:r>
            <w:proofErr w:type="spellStart"/>
            <w:r>
              <w:rPr>
                <w:rFonts w:ascii="Times New Roman" w:hAnsi="Times New Roman" w:cs="Times New Roman"/>
                <w:sz w:val="20"/>
                <w:szCs w:val="20"/>
              </w:rPr>
              <w:lastRenderedPageBreak/>
              <w:t>piezoelektronikus</w:t>
            </w:r>
            <w:proofErr w:type="spellEnd"/>
            <w:r>
              <w:rPr>
                <w:rFonts w:ascii="Times New Roman" w:hAnsi="Times New Roman" w:cs="Times New Roman"/>
                <w:sz w:val="20"/>
                <w:szCs w:val="20"/>
              </w:rPr>
              <w:t xml:space="preserve"> berendezésekben lévő </w:t>
            </w:r>
            <w:proofErr w:type="spellStart"/>
            <w:r>
              <w:rPr>
                <w:rFonts w:ascii="Times New Roman" w:hAnsi="Times New Roman" w:cs="Times New Roman"/>
                <w:sz w:val="20"/>
                <w:szCs w:val="20"/>
              </w:rPr>
              <w:t>dielektromos</w:t>
            </w:r>
            <w:proofErr w:type="spellEnd"/>
            <w:r>
              <w:rPr>
                <w:rFonts w:ascii="Times New Roman" w:hAnsi="Times New Roman" w:cs="Times New Roman"/>
                <w:sz w:val="20"/>
                <w:szCs w:val="20"/>
              </w:rPr>
              <w:t xml:space="preserve"> kerámiákban, továbbá nem üveg vagy kerámia mátrix anyagokban tartalmaznak ólmot </w:t>
            </w:r>
          </w:p>
        </w:tc>
        <w:tc>
          <w:tcPr>
            <w:tcW w:w="1923" w:type="dxa"/>
            <w:gridSpan w:val="10"/>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nincs korlátozás</w:t>
            </w:r>
          </w:p>
        </w:tc>
        <w:tc>
          <w:tcPr>
            <w:tcW w:w="2833"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lastRenderedPageBreak/>
              <w:t>51.</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125 V AC vagy 250 V DC vagy ennél magasabb névleges feszültségű kondenzátorokban használt </w:t>
            </w:r>
            <w:proofErr w:type="spellStart"/>
            <w:r>
              <w:rPr>
                <w:rFonts w:ascii="Times New Roman" w:hAnsi="Times New Roman" w:cs="Times New Roman"/>
                <w:sz w:val="20"/>
                <w:szCs w:val="20"/>
              </w:rPr>
              <w:t>dielektromos</w:t>
            </w:r>
            <w:proofErr w:type="spellEnd"/>
            <w:r>
              <w:rPr>
                <w:rFonts w:ascii="Times New Roman" w:hAnsi="Times New Roman" w:cs="Times New Roman"/>
                <w:sz w:val="20"/>
                <w:szCs w:val="20"/>
              </w:rPr>
              <w:t xml:space="preserve"> kerámiában lévő ólom </w:t>
            </w:r>
          </w:p>
        </w:tc>
        <w:tc>
          <w:tcPr>
            <w:tcW w:w="1923" w:type="dxa"/>
            <w:gridSpan w:val="10"/>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52.</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125 V AC vagy 250 V DC alatti névleges feszültségű kondenzátorokban használt </w:t>
            </w:r>
            <w:proofErr w:type="spellStart"/>
            <w:r>
              <w:rPr>
                <w:rFonts w:ascii="Times New Roman" w:hAnsi="Times New Roman" w:cs="Times New Roman"/>
                <w:sz w:val="20"/>
                <w:szCs w:val="20"/>
              </w:rPr>
              <w:t>dielektromos</w:t>
            </w:r>
            <w:proofErr w:type="spellEnd"/>
            <w:r>
              <w:rPr>
                <w:rFonts w:ascii="Times New Roman" w:hAnsi="Times New Roman" w:cs="Times New Roman"/>
                <w:sz w:val="20"/>
                <w:szCs w:val="20"/>
              </w:rPr>
              <w:t xml:space="preserve"> kerámiában lévő ólom</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2013. január 1-jén lejár, ezt követően a 2013. január 1. előtt forgalomba hozott elektronikus és elektromos berendezések pótalkatrészeiben használható</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53.</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Ólom a fűtő, szellőztető, légkondicionáló és hűtő alkalmazásokban használt, hűtőközeget tartalmazó kompresszorok csapágycsészéiben és </w:t>
            </w:r>
            <w:proofErr w:type="spellStart"/>
            <w:r>
              <w:rPr>
                <w:rFonts w:ascii="Times New Roman" w:hAnsi="Times New Roman" w:cs="Times New Roman"/>
                <w:sz w:val="20"/>
                <w:szCs w:val="20"/>
              </w:rPr>
              <w:t>-béléseiben</w:t>
            </w:r>
            <w:proofErr w:type="spellEnd"/>
            <w:r>
              <w:rPr>
                <w:rFonts w:ascii="Times New Roman" w:hAnsi="Times New Roman" w:cs="Times New Roman"/>
                <w:sz w:val="20"/>
                <w:szCs w:val="20"/>
              </w:rPr>
              <w:t xml:space="preserve"> </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54.</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Integrált áramkörök vagy diszkrét félvezetők részét képező kondenzátorokban található </w:t>
            </w:r>
            <w:proofErr w:type="spellStart"/>
            <w:r>
              <w:rPr>
                <w:rFonts w:ascii="Times New Roman" w:hAnsi="Times New Roman" w:cs="Times New Roman"/>
                <w:sz w:val="20"/>
                <w:szCs w:val="20"/>
              </w:rPr>
              <w:t>ólom-cirkanát-titanát</w:t>
            </w:r>
            <w:proofErr w:type="spellEnd"/>
            <w:r>
              <w:rPr>
                <w:rFonts w:ascii="Times New Roman" w:hAnsi="Times New Roman" w:cs="Times New Roman"/>
                <w:sz w:val="20"/>
                <w:szCs w:val="20"/>
              </w:rPr>
              <w:t xml:space="preserve"> alapú </w:t>
            </w:r>
            <w:proofErr w:type="spellStart"/>
            <w:r>
              <w:rPr>
                <w:rFonts w:ascii="Times New Roman" w:hAnsi="Times New Roman" w:cs="Times New Roman"/>
                <w:sz w:val="20"/>
                <w:szCs w:val="20"/>
              </w:rPr>
              <w:t>dielektromos</w:t>
            </w:r>
            <w:proofErr w:type="spellEnd"/>
            <w:r>
              <w:rPr>
                <w:rFonts w:ascii="Times New Roman" w:hAnsi="Times New Roman" w:cs="Times New Roman"/>
                <w:sz w:val="20"/>
                <w:szCs w:val="20"/>
              </w:rPr>
              <w:t xml:space="preserve"> kerámiaanyagokban lévő ólom</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55.</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proofErr w:type="spellStart"/>
            <w:r>
              <w:rPr>
                <w:rFonts w:ascii="Times New Roman" w:hAnsi="Times New Roman" w:cs="Times New Roman"/>
                <w:sz w:val="20"/>
                <w:szCs w:val="20"/>
              </w:rPr>
              <w:t>C-press</w:t>
            </w:r>
            <w:proofErr w:type="spellEnd"/>
            <w:r>
              <w:rPr>
                <w:rFonts w:ascii="Times New Roman" w:hAnsi="Times New Roman" w:cs="Times New Roman"/>
                <w:sz w:val="20"/>
                <w:szCs w:val="20"/>
              </w:rPr>
              <w:t xml:space="preserve"> rugalmas tűs csatlakozórendszerekben használt ólom </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 2010. szeptember 24. előtt forgalomba hozott elektronikus és elektromos berendezések pótalkatrészeiben használható</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56.</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Nem </w:t>
            </w:r>
            <w:proofErr w:type="spellStart"/>
            <w:r>
              <w:rPr>
                <w:rFonts w:ascii="Times New Roman" w:hAnsi="Times New Roman" w:cs="Times New Roman"/>
                <w:sz w:val="20"/>
                <w:szCs w:val="20"/>
              </w:rPr>
              <w:t>C-press</w:t>
            </w:r>
            <w:proofErr w:type="spellEnd"/>
            <w:r>
              <w:rPr>
                <w:rFonts w:ascii="Times New Roman" w:hAnsi="Times New Roman" w:cs="Times New Roman"/>
                <w:sz w:val="20"/>
                <w:szCs w:val="20"/>
              </w:rPr>
              <w:t xml:space="preserve"> rugalmas tűs csatlakozórendszerekben használt ólom </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2013. január 1-ig, ezt követően a 2013. január 1. előtt forgalomba hozott elektronikus és elektromos berendezések pótalkatrészeiben használható</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57.</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A hővezető modulok tömítőgyűrűjén </w:t>
            </w:r>
            <w:proofErr w:type="spellStart"/>
            <w:r>
              <w:rPr>
                <w:rFonts w:ascii="Times New Roman" w:hAnsi="Times New Roman" w:cs="Times New Roman"/>
                <w:sz w:val="20"/>
                <w:szCs w:val="20"/>
              </w:rPr>
              <w:t>bevonóanyagként</w:t>
            </w:r>
            <w:proofErr w:type="spellEnd"/>
            <w:r>
              <w:rPr>
                <w:rFonts w:ascii="Times New Roman" w:hAnsi="Times New Roman" w:cs="Times New Roman"/>
                <w:sz w:val="20"/>
                <w:szCs w:val="20"/>
              </w:rPr>
              <w:t xml:space="preserve"> használt ólom </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 2010. szeptember 24. előtt forgalomba hozott elektronikus és elektromos berendezések pótalkatrészeiben használható</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58.</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Optikai alkalmazásokban használt fehér üvegekben lévő ólom </w:t>
            </w:r>
          </w:p>
        </w:tc>
        <w:tc>
          <w:tcPr>
            <w:tcW w:w="1923" w:type="dxa"/>
            <w:gridSpan w:val="10"/>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59.</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Reflexiós tényezőre vonatkozó követelmények céljára használt üveg filterekben és üvegekben használt kadmium és ólom </w:t>
            </w:r>
          </w:p>
        </w:tc>
        <w:tc>
          <w:tcPr>
            <w:tcW w:w="1923" w:type="dxa"/>
            <w:gridSpan w:val="10"/>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60.</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Kettőnél több elemből álló, a mikroprocesszor kivezetései és tokja között kapcsolatot biztosító forrasztóanyagban lévő ólom, ha az ólomtartalom 80 és 85 tömegszázalék között van </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 2011. január 1. előtt forgalomba hozott elektronikus és elektromos berendezések pótalkatrészeiben használható</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61.</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Flip Chip integrált áramkörökben a félvezető </w:t>
            </w:r>
            <w:proofErr w:type="spellStart"/>
            <w:r>
              <w:rPr>
                <w:rFonts w:ascii="Times New Roman" w:hAnsi="Times New Roman" w:cs="Times New Roman"/>
                <w:sz w:val="20"/>
                <w:szCs w:val="20"/>
              </w:rPr>
              <w:t>süllyesztéke</w:t>
            </w:r>
            <w:proofErr w:type="spellEnd"/>
            <w:r>
              <w:rPr>
                <w:rFonts w:ascii="Times New Roman" w:hAnsi="Times New Roman" w:cs="Times New Roman"/>
                <w:sz w:val="20"/>
                <w:szCs w:val="20"/>
              </w:rPr>
              <w:t xml:space="preserve"> és hordozója között működőképes elektronikus kapcsolatot lehetővé tevő ólomtartalmú forraszanyag </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62.</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Az olyan vonalizzókban található ólom, amelyek csöve szilikát bevonatú </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2013. szeptember 1-jéig</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63.</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proofErr w:type="spellStart"/>
            <w:r>
              <w:rPr>
                <w:rFonts w:ascii="Times New Roman" w:hAnsi="Times New Roman" w:cs="Times New Roman"/>
                <w:sz w:val="20"/>
                <w:szCs w:val="20"/>
              </w:rPr>
              <w:t>Ólom-halogenid</w:t>
            </w:r>
            <w:proofErr w:type="spellEnd"/>
            <w:r>
              <w:rPr>
                <w:rFonts w:ascii="Times New Roman" w:hAnsi="Times New Roman" w:cs="Times New Roman"/>
                <w:sz w:val="20"/>
                <w:szCs w:val="20"/>
              </w:rPr>
              <w:t xml:space="preserve"> a nagynyomású kisülő lámpák (HID) sugárzó anyagaként professzionális reprográfiai alkalmazásokra </w:t>
            </w:r>
          </w:p>
        </w:tc>
        <w:tc>
          <w:tcPr>
            <w:tcW w:w="1923" w:type="dxa"/>
            <w:gridSpan w:val="10"/>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64.</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Ólom a </w:t>
            </w:r>
            <w:proofErr w:type="spellStart"/>
            <w:r>
              <w:rPr>
                <w:rFonts w:ascii="Times New Roman" w:hAnsi="Times New Roman" w:cs="Times New Roman"/>
                <w:sz w:val="20"/>
                <w:szCs w:val="20"/>
              </w:rPr>
              <w:t>szoláriumcsövek</w:t>
            </w:r>
            <w:proofErr w:type="spellEnd"/>
            <w:r>
              <w:rPr>
                <w:rFonts w:ascii="Times New Roman" w:hAnsi="Times New Roman" w:cs="Times New Roman"/>
                <w:sz w:val="20"/>
                <w:szCs w:val="20"/>
              </w:rPr>
              <w:t xml:space="preserve"> fényporában, mint például a BSP (</w:t>
            </w:r>
            <w:proofErr w:type="gramStart"/>
            <w:r>
              <w:rPr>
                <w:rFonts w:ascii="Times New Roman" w:hAnsi="Times New Roman" w:cs="Times New Roman"/>
                <w:sz w:val="20"/>
                <w:szCs w:val="20"/>
              </w:rPr>
              <w:t>BaSi</w:t>
            </w:r>
            <w:r>
              <w:rPr>
                <w:rFonts w:ascii="Times New Roman" w:hAnsi="Times New Roman" w:cs="Times New Roman"/>
                <w:sz w:val="20"/>
                <w:szCs w:val="20"/>
                <w:vertAlign w:val="subscript"/>
              </w:rPr>
              <w:t>2</w:t>
            </w:r>
            <w:r>
              <w:rPr>
                <w:rFonts w:ascii="Times New Roman" w:hAnsi="Times New Roman" w:cs="Times New Roman"/>
                <w:sz w:val="20"/>
                <w:szCs w:val="20"/>
              </w:rPr>
              <w:t>O</w:t>
            </w:r>
            <w:r>
              <w:rPr>
                <w:rFonts w:ascii="Times New Roman" w:hAnsi="Times New Roman" w:cs="Times New Roman"/>
                <w:sz w:val="20"/>
                <w:szCs w:val="20"/>
                <w:vertAlign w:val="subscript"/>
              </w:rPr>
              <w:t>5</w:t>
            </w:r>
            <w:r>
              <w:rPr>
                <w:rFonts w:ascii="Times New Roman" w:hAnsi="Times New Roman" w:cs="Times New Roman"/>
                <w:sz w:val="20"/>
                <w:szCs w:val="20"/>
              </w:rPr>
              <w:t xml:space="preserve"> :Pb</w:t>
            </w:r>
            <w:proofErr w:type="gramEnd"/>
            <w:r>
              <w:rPr>
                <w:rFonts w:ascii="Times New Roman" w:hAnsi="Times New Roman" w:cs="Times New Roman"/>
                <w:sz w:val="20"/>
                <w:szCs w:val="20"/>
              </w:rPr>
              <w:t xml:space="preserve">) fényporokban, </w:t>
            </w:r>
            <w:proofErr w:type="spellStart"/>
            <w:r>
              <w:rPr>
                <w:rFonts w:ascii="Times New Roman" w:hAnsi="Times New Roman" w:cs="Times New Roman"/>
                <w:sz w:val="20"/>
                <w:szCs w:val="20"/>
              </w:rPr>
              <w:t>aktivátorként</w:t>
            </w:r>
            <w:proofErr w:type="spellEnd"/>
          </w:p>
        </w:tc>
        <w:tc>
          <w:tcPr>
            <w:tcW w:w="1923" w:type="dxa"/>
            <w:gridSpan w:val="10"/>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Symbol" w:hAnsi="Symbol" w:cs="Symbol"/>
                <w:sz w:val="20"/>
                <w:szCs w:val="20"/>
              </w:rPr>
              <w:t></w:t>
            </w:r>
            <w:r>
              <w:rPr>
                <w:rFonts w:ascii="Times New Roman" w:hAnsi="Times New Roman" w:cs="Times New Roman"/>
                <w:sz w:val="20"/>
                <w:szCs w:val="20"/>
              </w:rPr>
              <w:t xml:space="preserve"> 1 m/m %</w:t>
            </w:r>
          </w:p>
        </w:tc>
        <w:tc>
          <w:tcPr>
            <w:tcW w:w="2833" w:type="dxa"/>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65.</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Ólom és kadmium a zománc üvegre, például </w:t>
            </w:r>
            <w:proofErr w:type="spellStart"/>
            <w:r>
              <w:rPr>
                <w:rFonts w:ascii="Times New Roman" w:hAnsi="Times New Roman" w:cs="Times New Roman"/>
                <w:sz w:val="20"/>
                <w:szCs w:val="20"/>
              </w:rPr>
              <w:t>boroszilikát</w:t>
            </w:r>
            <w:proofErr w:type="spellEnd"/>
            <w:r>
              <w:rPr>
                <w:rFonts w:ascii="Times New Roman" w:hAnsi="Times New Roman" w:cs="Times New Roman"/>
                <w:sz w:val="20"/>
                <w:szCs w:val="20"/>
              </w:rPr>
              <w:t xml:space="preserve"> üvegre vagy nátronüvegre való felviteléhez használt nyomdafestékekben </w:t>
            </w:r>
          </w:p>
        </w:tc>
        <w:tc>
          <w:tcPr>
            <w:tcW w:w="1923" w:type="dxa"/>
            <w:gridSpan w:val="10"/>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66.</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Ólom a csatlakozók kivételével a 0,65 mm vagy kisebb osztóközű, finom osztású (</w:t>
            </w:r>
            <w:proofErr w:type="spellStart"/>
            <w:r>
              <w:rPr>
                <w:rFonts w:ascii="Times New Roman" w:hAnsi="Times New Roman" w:cs="Times New Roman"/>
                <w:sz w:val="20"/>
                <w:szCs w:val="20"/>
              </w:rPr>
              <w:t>fine-pitch</w:t>
            </w:r>
            <w:proofErr w:type="spellEnd"/>
            <w:r>
              <w:rPr>
                <w:rFonts w:ascii="Times New Roman" w:hAnsi="Times New Roman" w:cs="Times New Roman"/>
                <w:sz w:val="20"/>
                <w:szCs w:val="20"/>
              </w:rPr>
              <w:t xml:space="preserve">) komponensek felületén </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a 2010. szeptember 24. előtt forgalomba hozott elektronikus és elektromos berendezések </w:t>
            </w:r>
            <w:r>
              <w:rPr>
                <w:rFonts w:ascii="Times New Roman" w:hAnsi="Times New Roman" w:cs="Times New Roman"/>
                <w:sz w:val="20"/>
                <w:szCs w:val="20"/>
              </w:rPr>
              <w:lastRenderedPageBreak/>
              <w:t>pótalkatrészeiben használható</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lastRenderedPageBreak/>
              <w:t>67.</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Korong- és síkmátrix alakú többrétegű kerámiakondenzátorok géppel készített átmenőfuratokba történő forrasztásához használt forrasztóanyagokban lévő ólom </w:t>
            </w:r>
          </w:p>
        </w:tc>
        <w:tc>
          <w:tcPr>
            <w:tcW w:w="1923" w:type="dxa"/>
            <w:gridSpan w:val="10"/>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68.</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Ólom-oxid a felületvezető </w:t>
            </w:r>
            <w:proofErr w:type="spellStart"/>
            <w:r>
              <w:rPr>
                <w:rFonts w:ascii="Times New Roman" w:hAnsi="Times New Roman" w:cs="Times New Roman"/>
                <w:sz w:val="20"/>
                <w:szCs w:val="20"/>
              </w:rPr>
              <w:t>elektronkibocsátó</w:t>
            </w:r>
            <w:proofErr w:type="spellEnd"/>
            <w:r>
              <w:rPr>
                <w:rFonts w:ascii="Times New Roman" w:hAnsi="Times New Roman" w:cs="Times New Roman"/>
                <w:sz w:val="20"/>
                <w:szCs w:val="20"/>
              </w:rPr>
              <w:t xml:space="preserve"> kijelzőkben (SED) használt szerkezeti elemekben, nevezetesen a lezáró </w:t>
            </w:r>
            <w:proofErr w:type="spellStart"/>
            <w:r>
              <w:rPr>
                <w:rFonts w:ascii="Times New Roman" w:hAnsi="Times New Roman" w:cs="Times New Roman"/>
                <w:sz w:val="20"/>
                <w:szCs w:val="20"/>
              </w:rPr>
              <w:t>frittben</w:t>
            </w:r>
            <w:proofErr w:type="spellEnd"/>
            <w:r>
              <w:rPr>
                <w:rFonts w:ascii="Times New Roman" w:hAnsi="Times New Roman" w:cs="Times New Roman"/>
                <w:sz w:val="20"/>
                <w:szCs w:val="20"/>
              </w:rPr>
              <w:t xml:space="preserve"> és a </w:t>
            </w:r>
            <w:proofErr w:type="spellStart"/>
            <w:r>
              <w:rPr>
                <w:rFonts w:ascii="Times New Roman" w:hAnsi="Times New Roman" w:cs="Times New Roman"/>
                <w:sz w:val="20"/>
                <w:szCs w:val="20"/>
              </w:rPr>
              <w:t>frittgyűrűben</w:t>
            </w:r>
            <w:proofErr w:type="spellEnd"/>
            <w:r>
              <w:rPr>
                <w:rFonts w:ascii="Times New Roman" w:hAnsi="Times New Roman" w:cs="Times New Roman"/>
                <w:sz w:val="20"/>
                <w:szCs w:val="20"/>
              </w:rPr>
              <w:t xml:space="preserve"> </w:t>
            </w:r>
          </w:p>
        </w:tc>
        <w:tc>
          <w:tcPr>
            <w:tcW w:w="1923" w:type="dxa"/>
            <w:gridSpan w:val="10"/>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 69/493/EGK tanácsi irányelv I. mellékletében (1</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2., 3. és 4. kategória) meghatározott, kristályüvegben található ólom </w:t>
            </w:r>
          </w:p>
        </w:tc>
        <w:tc>
          <w:tcPr>
            <w:tcW w:w="1923" w:type="dxa"/>
            <w:gridSpan w:val="10"/>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 100 dB (A) és annál nagyobb hangnyomású, nagy teljesítményű hangszórókban használt </w:t>
            </w:r>
            <w:proofErr w:type="spellStart"/>
            <w:r>
              <w:rPr>
                <w:rFonts w:ascii="Times New Roman" w:hAnsi="Times New Roman" w:cs="Times New Roman"/>
                <w:color w:val="000000"/>
                <w:sz w:val="20"/>
                <w:szCs w:val="20"/>
              </w:rPr>
              <w:t>transzduktorokban</w:t>
            </w:r>
            <w:proofErr w:type="spellEnd"/>
            <w:r>
              <w:rPr>
                <w:rFonts w:ascii="Times New Roman" w:hAnsi="Times New Roman" w:cs="Times New Roman"/>
                <w:color w:val="000000"/>
                <w:sz w:val="20"/>
                <w:szCs w:val="20"/>
              </w:rPr>
              <w:t xml:space="preserve">, közvetlenül a tekercsen található áramvezető anyagok elektromos, illetve mechanikus forrasztóanyagaként használt, kadmium alapú ötvözetek </w:t>
            </w:r>
          </w:p>
        </w:tc>
        <w:tc>
          <w:tcPr>
            <w:tcW w:w="1923" w:type="dxa"/>
            <w:gridSpan w:val="10"/>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 (pl. folyadékkristályos kijelzőkben, illetőleg dísz- vagy ipari világításként használt) higanymentes lapos fluoreszkáló lámpák forrasztóanyagában lévő ólom </w:t>
            </w:r>
          </w:p>
        </w:tc>
        <w:tc>
          <w:tcPr>
            <w:tcW w:w="1923" w:type="dxa"/>
            <w:gridSpan w:val="10"/>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Az argon- és kripton-lézercsövek ablak szerelvényeiben használatos lezáró </w:t>
            </w:r>
            <w:proofErr w:type="spellStart"/>
            <w:r>
              <w:rPr>
                <w:rFonts w:ascii="Times New Roman" w:hAnsi="Times New Roman" w:cs="Times New Roman"/>
                <w:color w:val="000000"/>
                <w:sz w:val="20"/>
                <w:szCs w:val="20"/>
              </w:rPr>
              <w:t>frittben</w:t>
            </w:r>
            <w:proofErr w:type="spellEnd"/>
            <w:r>
              <w:rPr>
                <w:rFonts w:ascii="Times New Roman" w:hAnsi="Times New Roman" w:cs="Times New Roman"/>
                <w:color w:val="000000"/>
                <w:sz w:val="20"/>
                <w:szCs w:val="20"/>
              </w:rPr>
              <w:t xml:space="preserve"> lévő ólom-oxid</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 transzformátorokban alkalmazott, 100 </w:t>
            </w:r>
            <w:proofErr w:type="spellStart"/>
            <w:r>
              <w:rPr>
                <w:rFonts w:ascii="Times New Roman" w:hAnsi="Times New Roman" w:cs="Times New Roman"/>
                <w:color w:val="000000"/>
                <w:sz w:val="20"/>
                <w:szCs w:val="20"/>
              </w:rPr>
              <w:t>µm-es</w:t>
            </w:r>
            <w:proofErr w:type="spellEnd"/>
            <w:r>
              <w:rPr>
                <w:rFonts w:ascii="Times New Roman" w:hAnsi="Times New Roman" w:cs="Times New Roman"/>
                <w:color w:val="000000"/>
                <w:sz w:val="20"/>
                <w:szCs w:val="20"/>
              </w:rPr>
              <w:t xml:space="preserve"> vagy annál kisebb átmérőjű vékony vörösréz vezetékek forrasztásához használt forrasztóanyagban lévő ólom </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proofErr w:type="spellStart"/>
            <w:r>
              <w:rPr>
                <w:rFonts w:ascii="Times New Roman" w:hAnsi="Times New Roman" w:cs="Times New Roman"/>
                <w:color w:val="000000"/>
                <w:sz w:val="20"/>
                <w:szCs w:val="20"/>
              </w:rPr>
              <w:t>cermet-alapú</w:t>
            </w:r>
            <w:proofErr w:type="spellEnd"/>
            <w:r>
              <w:rPr>
                <w:rFonts w:ascii="Times New Roman" w:hAnsi="Times New Roman" w:cs="Times New Roman"/>
                <w:color w:val="000000"/>
                <w:sz w:val="20"/>
                <w:szCs w:val="20"/>
              </w:rPr>
              <w:t xml:space="preserve"> beállító potenciométer egyes alkatrészeiben lévő ólom </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 cink-borát üvegből készült burkolatban elhelyezett nagyfeszültségű diódák bevonatában lévő ólom </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76.</w:t>
            </w:r>
          </w:p>
        </w:tc>
        <w:tc>
          <w:tcPr>
            <w:tcW w:w="9779" w:type="dxa"/>
            <w:gridSpan w:val="14"/>
          </w:tcPr>
          <w:p w:rsidR="0086455B" w:rsidRDefault="0086455B">
            <w:pPr>
              <w:autoSpaceDE w:val="0"/>
              <w:autoSpaceDN w:val="0"/>
              <w:adjustRightInd w:val="0"/>
              <w:spacing w:before="40" w:after="2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III. Kadmium és </w:t>
            </w:r>
            <w:proofErr w:type="spellStart"/>
            <w:r>
              <w:rPr>
                <w:rFonts w:ascii="Times New Roman" w:hAnsi="Times New Roman" w:cs="Times New Roman"/>
                <w:b/>
                <w:bCs/>
                <w:i/>
                <w:iCs/>
                <w:color w:val="000000"/>
                <w:sz w:val="20"/>
                <w:szCs w:val="20"/>
              </w:rPr>
              <w:t>kadmiumvegyülettartalomra</w:t>
            </w:r>
            <w:proofErr w:type="spellEnd"/>
            <w:r>
              <w:rPr>
                <w:rFonts w:ascii="Times New Roman" w:hAnsi="Times New Roman" w:cs="Times New Roman"/>
                <w:b/>
                <w:bCs/>
                <w:i/>
                <w:iCs/>
                <w:color w:val="000000"/>
                <w:sz w:val="20"/>
                <w:szCs w:val="20"/>
              </w:rPr>
              <w:t xml:space="preserve"> vonatkozó mentességek</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proofErr w:type="spellStart"/>
            <w:r>
              <w:rPr>
                <w:rFonts w:ascii="Times New Roman" w:hAnsi="Times New Roman" w:cs="Times New Roman"/>
                <w:sz w:val="20"/>
                <w:szCs w:val="20"/>
              </w:rPr>
              <w:t>Egyszerhasználatos</w:t>
            </w:r>
            <w:proofErr w:type="spellEnd"/>
            <w:r>
              <w:rPr>
                <w:rFonts w:ascii="Times New Roman" w:hAnsi="Times New Roman" w:cs="Times New Roman"/>
                <w:sz w:val="20"/>
                <w:szCs w:val="20"/>
              </w:rPr>
              <w:t xml:space="preserve">, szemcsés töltetű </w:t>
            </w:r>
            <w:proofErr w:type="spellStart"/>
            <w:r>
              <w:rPr>
                <w:rFonts w:ascii="Times New Roman" w:hAnsi="Times New Roman" w:cs="Times New Roman"/>
                <w:sz w:val="20"/>
                <w:szCs w:val="20"/>
              </w:rPr>
              <w:t>hőkioldókban</w:t>
            </w:r>
            <w:proofErr w:type="spellEnd"/>
            <w:r>
              <w:rPr>
                <w:rFonts w:ascii="Times New Roman" w:hAnsi="Times New Roman" w:cs="Times New Roman"/>
                <w:sz w:val="20"/>
                <w:szCs w:val="20"/>
              </w:rPr>
              <w:t xml:space="preserve"> lévő kadmium és vegyületei </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A villamos érintkezőkben lévő kadmium és vegyületei </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color w:val="000000"/>
                <w:sz w:val="20"/>
                <w:szCs w:val="20"/>
              </w:rPr>
              <w:t>Az alumíniummal ötvözött berillium-oxid hordozókon használt vastag filmpasztában lévő kadmium és kadmium-oxid</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 szilárdtest-világítási vagy </w:t>
            </w:r>
            <w:proofErr w:type="spellStart"/>
            <w:r>
              <w:rPr>
                <w:rFonts w:ascii="Times New Roman" w:hAnsi="Times New Roman" w:cs="Times New Roman"/>
                <w:color w:val="000000"/>
                <w:sz w:val="20"/>
                <w:szCs w:val="20"/>
              </w:rPr>
              <w:t>-kijelző</w:t>
            </w:r>
            <w:proofErr w:type="spellEnd"/>
            <w:r>
              <w:rPr>
                <w:rFonts w:ascii="Times New Roman" w:hAnsi="Times New Roman" w:cs="Times New Roman"/>
                <w:color w:val="000000"/>
                <w:sz w:val="20"/>
                <w:szCs w:val="20"/>
              </w:rPr>
              <w:t xml:space="preserve"> rendszerekben használt színátalakító </w:t>
            </w:r>
            <w:proofErr w:type="spellStart"/>
            <w:r>
              <w:rPr>
                <w:rFonts w:ascii="Times New Roman" w:hAnsi="Times New Roman" w:cs="Times New Roman"/>
                <w:color w:val="000000"/>
                <w:sz w:val="20"/>
                <w:szCs w:val="20"/>
              </w:rPr>
              <w:t>LED-ekben</w:t>
            </w:r>
            <w:proofErr w:type="spellEnd"/>
            <w:r>
              <w:rPr>
                <w:rFonts w:ascii="Times New Roman" w:hAnsi="Times New Roman" w:cs="Times New Roman"/>
                <w:color w:val="000000"/>
                <w:sz w:val="20"/>
                <w:szCs w:val="20"/>
              </w:rPr>
              <w:t xml:space="preserve"> lévő kadmium  </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a fénykibocsátó terület egy </w:t>
            </w:r>
            <w:proofErr w:type="spellStart"/>
            <w:r>
              <w:rPr>
                <w:rFonts w:ascii="Times New Roman" w:hAnsi="Times New Roman" w:cs="Times New Roman"/>
                <w:color w:val="000000"/>
                <w:sz w:val="20"/>
                <w:szCs w:val="20"/>
              </w:rPr>
              <w:t>négyzetmilliméte-rére</w:t>
            </w:r>
            <w:proofErr w:type="spellEnd"/>
            <w:r>
              <w:rPr>
                <w:rFonts w:ascii="Times New Roman" w:hAnsi="Times New Roman" w:cs="Times New Roman"/>
                <w:color w:val="000000"/>
                <w:sz w:val="20"/>
                <w:szCs w:val="20"/>
              </w:rPr>
              <w:t xml:space="preserve"> eső </w:t>
            </w:r>
            <w:proofErr w:type="spellStart"/>
            <w:r>
              <w:rPr>
                <w:rFonts w:ascii="Times New Roman" w:hAnsi="Times New Roman" w:cs="Times New Roman"/>
                <w:color w:val="000000"/>
                <w:sz w:val="20"/>
                <w:szCs w:val="20"/>
              </w:rPr>
              <w:t>kadmiummennyi-ség</w:t>
            </w:r>
            <w:proofErr w:type="spell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&lt; 10</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µg</w:t>
            </w:r>
            <w:proofErr w:type="spellEnd"/>
          </w:p>
        </w:tc>
        <w:tc>
          <w:tcPr>
            <w:tcW w:w="2833" w:type="dxa"/>
            <w:vAlign w:val="center"/>
          </w:tcPr>
          <w:p w:rsidR="0086455B" w:rsidRDefault="0086455B">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2014. július 1-jéig</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A professzionális </w:t>
            </w:r>
            <w:proofErr w:type="spellStart"/>
            <w:r>
              <w:rPr>
                <w:rFonts w:ascii="Times New Roman" w:hAnsi="Times New Roman" w:cs="Times New Roman"/>
                <w:sz w:val="20"/>
                <w:szCs w:val="20"/>
              </w:rPr>
              <w:t>audioberendezésekben</w:t>
            </w:r>
            <w:proofErr w:type="spellEnd"/>
            <w:r>
              <w:rPr>
                <w:rFonts w:ascii="Times New Roman" w:hAnsi="Times New Roman" w:cs="Times New Roman"/>
                <w:sz w:val="20"/>
                <w:szCs w:val="20"/>
              </w:rPr>
              <w:t xml:space="preserve"> használt analóg </w:t>
            </w:r>
            <w:proofErr w:type="spellStart"/>
            <w:r>
              <w:rPr>
                <w:rFonts w:ascii="Times New Roman" w:hAnsi="Times New Roman" w:cs="Times New Roman"/>
                <w:sz w:val="20"/>
                <w:szCs w:val="20"/>
              </w:rPr>
              <w:t>optocsatolók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fotorezisztoraiban</w:t>
            </w:r>
            <w:proofErr w:type="spellEnd"/>
            <w:r>
              <w:rPr>
                <w:rFonts w:ascii="Times New Roman" w:hAnsi="Times New Roman" w:cs="Times New Roman"/>
                <w:sz w:val="20"/>
                <w:szCs w:val="20"/>
              </w:rPr>
              <w:t xml:space="preserve"> lévő kadmium</w:t>
            </w:r>
          </w:p>
        </w:tc>
        <w:tc>
          <w:tcPr>
            <w:tcW w:w="1923" w:type="dxa"/>
            <w:gridSpan w:val="10"/>
            <w:vAlign w:val="center"/>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2013. december 31-ig</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Reflexiós tényezőre vonatkozó követelmények céljára használt üveg filterekben és üvegekben használt kadmium és ólom</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5023" w:type="dxa"/>
            <w:gridSpan w:val="3"/>
          </w:tcPr>
          <w:p w:rsidR="0086455B" w:rsidRDefault="0086455B">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Ólom és kadmium a zománc üvegre, például </w:t>
            </w:r>
            <w:proofErr w:type="spellStart"/>
            <w:r>
              <w:rPr>
                <w:rFonts w:ascii="Times New Roman" w:hAnsi="Times New Roman" w:cs="Times New Roman"/>
                <w:sz w:val="20"/>
                <w:szCs w:val="20"/>
              </w:rPr>
              <w:t>boroszilikát</w:t>
            </w:r>
            <w:proofErr w:type="spellEnd"/>
            <w:r>
              <w:rPr>
                <w:rFonts w:ascii="Times New Roman" w:hAnsi="Times New Roman" w:cs="Times New Roman"/>
                <w:sz w:val="20"/>
                <w:szCs w:val="20"/>
              </w:rPr>
              <w:t xml:space="preserve"> üvegre vagy nátronüvegre való felviteléhez használt nyomdafestékekben </w:t>
            </w:r>
          </w:p>
        </w:tc>
        <w:tc>
          <w:tcPr>
            <w:tcW w:w="1923" w:type="dxa"/>
            <w:gridSpan w:val="10"/>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p>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nincs korlátozás</w:t>
            </w:r>
          </w:p>
        </w:tc>
        <w:tc>
          <w:tcPr>
            <w:tcW w:w="2833" w:type="dxa"/>
          </w:tcPr>
          <w:p w:rsidR="0086455B" w:rsidRDefault="0086455B">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mentesség ideje nincs korlátozva</w:t>
            </w:r>
          </w:p>
        </w:tc>
      </w:tr>
      <w:tr w:rsidR="0086455B">
        <w:tblPrEx>
          <w:tblCellMar>
            <w:top w:w="0" w:type="dxa"/>
            <w:bottom w:w="0" w:type="dxa"/>
          </w:tblCellMar>
        </w:tblPrEx>
        <w:tc>
          <w:tcPr>
            <w:tcW w:w="512" w:type="dxa"/>
            <w:gridSpan w:val="2"/>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84.</w:t>
            </w:r>
          </w:p>
        </w:tc>
        <w:tc>
          <w:tcPr>
            <w:tcW w:w="9779" w:type="dxa"/>
            <w:gridSpan w:val="14"/>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IV. Krómtartalomra vonatkozó mentességek</w:t>
            </w:r>
          </w:p>
        </w:tc>
      </w:tr>
      <w:tr w:rsidR="0086455B">
        <w:tblPrEx>
          <w:tblCellMar>
            <w:top w:w="0" w:type="dxa"/>
            <w:bottom w:w="0" w:type="dxa"/>
          </w:tblCellMar>
        </w:tblPrEx>
        <w:tc>
          <w:tcPr>
            <w:tcW w:w="512" w:type="dxa"/>
            <w:gridSpan w:val="2"/>
            <w:tcBorders>
              <w:bottom w:val="single" w:sz="4" w:space="0" w:color="auto"/>
            </w:tcBorders>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5050" w:type="dxa"/>
            <w:gridSpan w:val="4"/>
            <w:tcBorders>
              <w:bottom w:val="single" w:sz="4" w:space="0" w:color="auto"/>
            </w:tcBorders>
          </w:tcPr>
          <w:p w:rsidR="0086455B" w:rsidRDefault="0086455B">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Abszorpciós hűtőgépek szénacél hűtőrendszerében </w:t>
            </w:r>
            <w:proofErr w:type="spellStart"/>
            <w:r>
              <w:rPr>
                <w:rFonts w:ascii="Times New Roman" w:hAnsi="Times New Roman" w:cs="Times New Roman"/>
                <w:sz w:val="20"/>
                <w:szCs w:val="20"/>
              </w:rPr>
              <w:t>korróziógátló</w:t>
            </w:r>
            <w:proofErr w:type="spellEnd"/>
            <w:r>
              <w:rPr>
                <w:rFonts w:ascii="Times New Roman" w:hAnsi="Times New Roman" w:cs="Times New Roman"/>
                <w:sz w:val="20"/>
                <w:szCs w:val="20"/>
              </w:rPr>
              <w:t xml:space="preserve"> szerként a hűtőközegben </w:t>
            </w:r>
          </w:p>
        </w:tc>
        <w:tc>
          <w:tcPr>
            <w:tcW w:w="1896" w:type="dxa"/>
            <w:gridSpan w:val="9"/>
            <w:tcBorders>
              <w:bottom w:val="single" w:sz="4" w:space="0" w:color="auto"/>
            </w:tcBorders>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Symbol" w:hAnsi="Symbol" w:cs="Symbol"/>
                <w:sz w:val="20"/>
                <w:szCs w:val="20"/>
              </w:rPr>
              <w:t></w:t>
            </w:r>
            <w:r>
              <w:rPr>
                <w:rFonts w:ascii="Times New Roman" w:hAnsi="Times New Roman" w:cs="Times New Roman"/>
                <w:sz w:val="20"/>
                <w:szCs w:val="20"/>
              </w:rPr>
              <w:t xml:space="preserve"> 0,75 m/m % hat vegyértékű króm</w:t>
            </w:r>
          </w:p>
        </w:tc>
        <w:tc>
          <w:tcPr>
            <w:tcW w:w="2833" w:type="dxa"/>
            <w:tcBorders>
              <w:bottom w:val="single" w:sz="4" w:space="0" w:color="auto"/>
            </w:tcBorders>
          </w:tcPr>
          <w:p w:rsidR="0086455B" w:rsidRDefault="0086455B">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mentesség ideje nincs korlátozva</w:t>
            </w:r>
          </w:p>
        </w:tc>
      </w:tr>
    </w:tbl>
    <w:p w:rsidR="0086455B" w:rsidRDefault="0086455B" w:rsidP="0086455B">
      <w:pPr>
        <w:autoSpaceDE w:val="0"/>
        <w:autoSpaceDN w:val="0"/>
        <w:adjustRightInd w:val="0"/>
        <w:spacing w:after="0" w:line="240" w:lineRule="auto"/>
        <w:jc w:val="both"/>
        <w:rPr>
          <w:rFonts w:ascii="Times New Roman" w:hAnsi="Times New Roman" w:cs="Times New Roman"/>
          <w:b/>
          <w:bCs/>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3. melléklet a 374/2012. (XII. 18.) Korm. rendelethez</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orvostechnikai eszközökben és a felügyeleti és vezérlő eszközökben alkalmazható veszélyes anyagok alóli mentességek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I. Ionizáló sugárzást felhasználó vagy észlelő berendezések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Ionizáló sugárzást észlelő berendezésekben lévő ólom, kadmium és higany</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Röntgencsövek ólomcsapágyai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Elektromágneses sugárzás erősítésére szolgáló eszközökben – </w:t>
      </w:r>
      <w:proofErr w:type="spellStart"/>
      <w:r>
        <w:rPr>
          <w:rFonts w:ascii="Times New Roman" w:hAnsi="Times New Roman" w:cs="Times New Roman"/>
          <w:sz w:val="20"/>
          <w:szCs w:val="20"/>
        </w:rPr>
        <w:t>mikrocsatornás</w:t>
      </w:r>
      <w:proofErr w:type="spellEnd"/>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lemezekben</w:t>
      </w:r>
      <w:proofErr w:type="gramEnd"/>
      <w:r>
        <w:rPr>
          <w:rFonts w:ascii="Times New Roman" w:hAnsi="Times New Roman" w:cs="Times New Roman"/>
          <w:sz w:val="20"/>
          <w:szCs w:val="20"/>
        </w:rPr>
        <w:t xml:space="preserve"> és kapilláris lemezeken – lévő ólom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Röntgencsövek és képerősítők </w:t>
      </w:r>
      <w:proofErr w:type="spellStart"/>
      <w:r>
        <w:rPr>
          <w:rFonts w:ascii="Times New Roman" w:hAnsi="Times New Roman" w:cs="Times New Roman"/>
          <w:sz w:val="20"/>
          <w:szCs w:val="20"/>
        </w:rPr>
        <w:t>üvegfrittjében</w:t>
      </w:r>
      <w:proofErr w:type="spellEnd"/>
      <w:r>
        <w:rPr>
          <w:rFonts w:ascii="Times New Roman" w:hAnsi="Times New Roman" w:cs="Times New Roman"/>
          <w:sz w:val="20"/>
          <w:szCs w:val="20"/>
        </w:rPr>
        <w:t xml:space="preserve"> lévő ólom, valamint a gázlézer</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összeállításához</w:t>
      </w:r>
      <w:proofErr w:type="gramEnd"/>
      <w:r>
        <w:rPr>
          <w:rFonts w:ascii="Times New Roman" w:hAnsi="Times New Roman" w:cs="Times New Roman"/>
          <w:sz w:val="20"/>
          <w:szCs w:val="20"/>
        </w:rPr>
        <w:t xml:space="preserve"> és az elektromágneses sugárzást elektronokká átalakító</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vákuumcsövekhez</w:t>
      </w:r>
      <w:proofErr w:type="gramEnd"/>
      <w:r>
        <w:rPr>
          <w:rFonts w:ascii="Times New Roman" w:hAnsi="Times New Roman" w:cs="Times New Roman"/>
          <w:sz w:val="20"/>
          <w:szCs w:val="20"/>
        </w:rPr>
        <w:t xml:space="preserve"> való </w:t>
      </w:r>
      <w:proofErr w:type="spellStart"/>
      <w:r>
        <w:rPr>
          <w:rFonts w:ascii="Times New Roman" w:hAnsi="Times New Roman" w:cs="Times New Roman"/>
          <w:sz w:val="20"/>
          <w:szCs w:val="20"/>
        </w:rPr>
        <w:t>üvegfritt</w:t>
      </w:r>
      <w:proofErr w:type="spellEnd"/>
      <w:r>
        <w:rPr>
          <w:rFonts w:ascii="Times New Roman" w:hAnsi="Times New Roman" w:cs="Times New Roman"/>
          <w:sz w:val="20"/>
          <w:szCs w:val="20"/>
        </w:rPr>
        <w:t xml:space="preserve"> kötőanyagokban lévő ólom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Ionizáló sugárzás elleni védőeszközökben lévő ólom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Röntgenezési próbatárgyban lévő ólom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Röntgensugár-diffrakcióhoz való </w:t>
      </w:r>
      <w:proofErr w:type="spellStart"/>
      <w:r>
        <w:rPr>
          <w:rFonts w:ascii="Times New Roman" w:hAnsi="Times New Roman" w:cs="Times New Roman"/>
          <w:sz w:val="20"/>
          <w:szCs w:val="20"/>
        </w:rPr>
        <w:t>ólom-sztearát</w:t>
      </w:r>
      <w:proofErr w:type="spellEnd"/>
      <w:r>
        <w:rPr>
          <w:rFonts w:ascii="Times New Roman" w:hAnsi="Times New Roman" w:cs="Times New Roman"/>
          <w:sz w:val="20"/>
          <w:szCs w:val="20"/>
        </w:rPr>
        <w:t xml:space="preserve"> kristály</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Hordozható </w:t>
      </w:r>
      <w:proofErr w:type="spellStart"/>
      <w:r>
        <w:rPr>
          <w:rFonts w:ascii="Times New Roman" w:hAnsi="Times New Roman" w:cs="Times New Roman"/>
          <w:sz w:val="20"/>
          <w:szCs w:val="20"/>
        </w:rPr>
        <w:t>röntgenfluoreszcenciás</w:t>
      </w:r>
      <w:proofErr w:type="spellEnd"/>
      <w:r>
        <w:rPr>
          <w:rFonts w:ascii="Times New Roman" w:hAnsi="Times New Roman" w:cs="Times New Roman"/>
          <w:sz w:val="20"/>
          <w:szCs w:val="20"/>
        </w:rPr>
        <w:t xml:space="preserve"> spektrométerek sugárforrásául szolgáló kadmium-izotóp</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II. Érzékelőelemek, jelzőkészülékek és elektródok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9. </w:t>
      </w:r>
      <w:proofErr w:type="spellStart"/>
      <w:r>
        <w:rPr>
          <w:rFonts w:ascii="Times New Roman" w:hAnsi="Times New Roman" w:cs="Times New Roman"/>
          <w:sz w:val="20"/>
          <w:szCs w:val="20"/>
        </w:rPr>
        <w:t>Ionszelektív</w:t>
      </w:r>
      <w:proofErr w:type="spellEnd"/>
      <w:r>
        <w:rPr>
          <w:rFonts w:ascii="Times New Roman" w:hAnsi="Times New Roman" w:cs="Times New Roman"/>
          <w:sz w:val="20"/>
          <w:szCs w:val="20"/>
        </w:rPr>
        <w:t xml:space="preserve"> elektródokban lévő ólom és kadmium, beleértve a pH-elektródok üvegében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lévőt</w:t>
      </w:r>
      <w:proofErr w:type="gramEnd"/>
      <w:r>
        <w:rPr>
          <w:rFonts w:ascii="Times New Roman" w:hAnsi="Times New Roman" w:cs="Times New Roman"/>
          <w:sz w:val="20"/>
          <w:szCs w:val="20"/>
        </w:rPr>
        <w:t xml:space="preserve"> is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Elektrokémiás oxigénérzékelők ólomanódja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Infravörösfény-detektorokban lévő ólom, kadmium és higany</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12. Referenciaelektródokban – alacsony </w:t>
      </w:r>
      <w:proofErr w:type="spellStart"/>
      <w:r>
        <w:rPr>
          <w:rFonts w:ascii="Times New Roman" w:hAnsi="Times New Roman" w:cs="Times New Roman"/>
          <w:sz w:val="20"/>
          <w:szCs w:val="20"/>
        </w:rPr>
        <w:t>kloridtartalmú</w:t>
      </w:r>
      <w:proofErr w:type="spellEnd"/>
      <w:r>
        <w:rPr>
          <w:rFonts w:ascii="Times New Roman" w:hAnsi="Times New Roman" w:cs="Times New Roman"/>
          <w:sz w:val="20"/>
          <w:szCs w:val="20"/>
        </w:rPr>
        <w:t xml:space="preserve"> higany-klorid, valamint higany-szulfát és higany-oxid elektródokban – lévő higany</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III. Egyéb</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 Hélium-kadmium lézerekben lévő kadmium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14. </w:t>
      </w:r>
      <w:proofErr w:type="spellStart"/>
      <w:r>
        <w:rPr>
          <w:rFonts w:ascii="Times New Roman" w:hAnsi="Times New Roman" w:cs="Times New Roman"/>
          <w:sz w:val="20"/>
          <w:szCs w:val="20"/>
        </w:rPr>
        <w:t>Atomadszorpciós</w:t>
      </w:r>
      <w:proofErr w:type="spellEnd"/>
      <w:r>
        <w:rPr>
          <w:rFonts w:ascii="Times New Roman" w:hAnsi="Times New Roman" w:cs="Times New Roman"/>
          <w:sz w:val="20"/>
          <w:szCs w:val="20"/>
        </w:rPr>
        <w:t xml:space="preserve"> spektroszkópiás lámpákban lévő ólom és kadmium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15. Mágneses rezonanciás képalkotó berendezésekben szupravezetőként és hővezetőként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használt</w:t>
      </w:r>
      <w:proofErr w:type="gramEnd"/>
      <w:r>
        <w:rPr>
          <w:rFonts w:ascii="Times New Roman" w:hAnsi="Times New Roman" w:cs="Times New Roman"/>
          <w:sz w:val="20"/>
          <w:szCs w:val="20"/>
        </w:rPr>
        <w:t xml:space="preserve"> fémötvözetekben lévő ólom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16. Mágneses rezonanciás képalkotó berendezések és szupravezető kvantum-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roofErr w:type="spellStart"/>
      <w:r>
        <w:rPr>
          <w:rFonts w:ascii="Times New Roman" w:hAnsi="Times New Roman" w:cs="Times New Roman"/>
          <w:sz w:val="20"/>
          <w:szCs w:val="20"/>
        </w:rPr>
        <w:t>interferométerek</w:t>
      </w:r>
      <w:proofErr w:type="spellEnd"/>
      <w:r>
        <w:rPr>
          <w:rFonts w:ascii="Times New Roman" w:hAnsi="Times New Roman" w:cs="Times New Roman"/>
          <w:sz w:val="20"/>
          <w:szCs w:val="20"/>
        </w:rPr>
        <w:t xml:space="preserve"> (SQUID) szupravezető anyagainak fém kapcsolódási felületeiben lévő ólom és kadmium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17. Ellensúlyokban lévő ólom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 Ultrahangos jelátalakítókhoz való egykristályos piezoelektromos anyagokban lévő ólom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19. Ultrahangos jelátalakítókhoz való forraszanyagban lévő ólom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20. Igen nagyfokú pontossággal rendelkező kapacitás- és veszteségmérő hidakban lévő</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higany</w:t>
      </w:r>
      <w:proofErr w:type="gramEnd"/>
      <w:r>
        <w:rPr>
          <w:rFonts w:ascii="Times New Roman" w:hAnsi="Times New Roman" w:cs="Times New Roman"/>
          <w:sz w:val="20"/>
          <w:szCs w:val="20"/>
        </w:rPr>
        <w:t>, valamint felügyeleti és vezérlő eszközök nagyfrekvenciás RF kapcsolóiban és reléiben lévő higany, kapcsolónként, illetve relénként legfeljebb 20 mg mennyiségben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21. Hordozható sürgősségi </w:t>
      </w:r>
      <w:proofErr w:type="spellStart"/>
      <w:r>
        <w:rPr>
          <w:rFonts w:ascii="Times New Roman" w:hAnsi="Times New Roman" w:cs="Times New Roman"/>
          <w:sz w:val="20"/>
          <w:szCs w:val="20"/>
        </w:rPr>
        <w:t>defibrillátorokhoz</w:t>
      </w:r>
      <w:proofErr w:type="spellEnd"/>
      <w:r>
        <w:rPr>
          <w:rFonts w:ascii="Times New Roman" w:hAnsi="Times New Roman" w:cs="Times New Roman"/>
          <w:sz w:val="20"/>
          <w:szCs w:val="20"/>
        </w:rPr>
        <w:t xml:space="preserve"> való forraszanyagban lévő ólom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22. A 8–14 </w:t>
      </w:r>
      <w:r>
        <w:rPr>
          <w:rFonts w:ascii="Symbol" w:hAnsi="Symbol" w:cs="Symbol"/>
          <w:sz w:val="20"/>
          <w:szCs w:val="20"/>
        </w:rPr>
        <w:t></w:t>
      </w:r>
      <w:r>
        <w:rPr>
          <w:rFonts w:ascii="Times New Roman" w:hAnsi="Times New Roman" w:cs="Times New Roman"/>
          <w:sz w:val="20"/>
          <w:szCs w:val="20"/>
        </w:rPr>
        <w:t>m-es tartományban működő, nagy teljesítményű infravörös képalkotó modulok forraszanyagaiban lévő ólom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23. „Folyadékkristály szilíciumon” (</w:t>
      </w:r>
      <w:proofErr w:type="spellStart"/>
      <w:r>
        <w:rPr>
          <w:rFonts w:ascii="Times New Roman" w:hAnsi="Times New Roman" w:cs="Times New Roman"/>
          <w:sz w:val="20"/>
          <w:szCs w:val="20"/>
        </w:rPr>
        <w:t>LCoS</w:t>
      </w:r>
      <w:proofErr w:type="spellEnd"/>
      <w:r>
        <w:rPr>
          <w:rFonts w:ascii="Times New Roman" w:hAnsi="Times New Roman" w:cs="Times New Roman"/>
          <w:sz w:val="20"/>
          <w:szCs w:val="20"/>
        </w:rPr>
        <w:t>) technológiájú kijelzőkben lévő ólom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24. Röntgensugárzás mérésére szolgáló szűrőkben lévő kadmium</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4. melléklet a 374/2012. (XII. 18.) Korm. rendelethez</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veszélyes anyagok alkalmazása alóli mentességi kérelem szükséges tartalmi elemei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A kérelmező neve, címe és kapcsolattartási adatai;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az anyagra vagy az alkotóelemre vonatkozó információk, valamint a mentesség vagy annak visszavonása tárgyát képező anyagban vagy alkotóelemben előforduló összetevők egyedi felhasználása és különleges jellemzői;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mentesség vagy annak visszavonása ellenőrizhető és átfogó hivatkozással ellátott indokolása a 4. § (3) bekezdésben megállapított feltételekkel összhangban;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esetleges helyettesítő anyagok, alkotóelemek vagy tervezések életciklus alapján történő elemzése, beleértve adott esetben a független kutatásokról szóló információkat és szakértők által felülvizsgált tanulmányokat, valamint a kérelmező fejlesztési tevékenységeit, és az ilyen alternatív anyagok rendelkezésre állásának elemzése;</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tájékoztatás az elektromos és elektronikus berendezésekkel kapcsolatos hulladékgazdálkodási és egyéb tevékenységekre vonatkozó részletes szabályokról szóló kormányrendelet szerinti kezelésére vonatkozó előírásokról;</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egyéb lényeges információ;</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kérelmező által a lehetséges egyéb megoldások kidolgozására, kidolgozásuk kérelmezésére, illetve ezen megoldások alkalmazására javasolt intézkedések, beleértve ezek ütemtervét;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adott esetben hivatkozás a szellemi tulajdon védelme alatt álló információra, ellenőrzésre alkalmas igazolással együtt;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mentesség kérelmezésekor a mentesség pontos és világos megfogalmazására vonatkozó javaslat;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kérelem összegzése.</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5. melléklet a 374/2012. (XII. 18.) Korm. rendelethez</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Megfelelőségértékelési</w:t>
      </w:r>
      <w:proofErr w:type="spellEnd"/>
      <w:r>
        <w:rPr>
          <w:rFonts w:ascii="Times New Roman" w:hAnsi="Times New Roman" w:cs="Times New Roman"/>
          <w:b/>
          <w:bCs/>
          <w:sz w:val="20"/>
          <w:szCs w:val="20"/>
        </w:rPr>
        <w:t xml:space="preserve"> eljárások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modul</w:t>
      </w:r>
      <w:proofErr w:type="gramEnd"/>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Belső gyártásellenőrzés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 A belső gyártásellenőrzés az a </w:t>
      </w:r>
      <w:proofErr w:type="spellStart"/>
      <w:r>
        <w:rPr>
          <w:rFonts w:ascii="Times New Roman" w:hAnsi="Times New Roman" w:cs="Times New Roman"/>
          <w:sz w:val="20"/>
          <w:szCs w:val="20"/>
        </w:rPr>
        <w:t>megfelelőségértékelési</w:t>
      </w:r>
      <w:proofErr w:type="spellEnd"/>
      <w:r>
        <w:rPr>
          <w:rFonts w:ascii="Times New Roman" w:hAnsi="Times New Roman" w:cs="Times New Roman"/>
          <w:sz w:val="20"/>
          <w:szCs w:val="20"/>
        </w:rPr>
        <w:t xml:space="preserve"> eljárás, amellyel a gyártó eleget tesz a 2</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3. és 4. pontban megállapított kötelezettségeknek, továbbá biztosítja azt, és saját kizárólagos felelőssége mellett nyilatkozik arról, hogy a szóban forgó termékek megfelelnek a vonatkozó jogalkotási aktus követelményeinek.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műszaki dokumentáció</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gyártó kidolgozza a műszaki dokumentációt. A dokumentáció lehetővé teszi annak értékelését, hogy a termék megfelel-e a vonatkozó követelményeknek, és tartalmazza a </w:t>
      </w:r>
      <w:proofErr w:type="gramStart"/>
      <w:r>
        <w:rPr>
          <w:rFonts w:ascii="Times New Roman" w:hAnsi="Times New Roman" w:cs="Times New Roman"/>
          <w:sz w:val="20"/>
          <w:szCs w:val="20"/>
        </w:rPr>
        <w:t>veszély(</w:t>
      </w:r>
      <w:proofErr w:type="spellStart"/>
      <w:proofErr w:type="gramEnd"/>
      <w:r>
        <w:rPr>
          <w:rFonts w:ascii="Times New Roman" w:hAnsi="Times New Roman" w:cs="Times New Roman"/>
          <w:sz w:val="20"/>
          <w:szCs w:val="20"/>
        </w:rPr>
        <w:t>ek</w:t>
      </w:r>
      <w:proofErr w:type="spellEnd"/>
      <w:r>
        <w:rPr>
          <w:rFonts w:ascii="Times New Roman" w:hAnsi="Times New Roman" w:cs="Times New Roman"/>
          <w:sz w:val="20"/>
          <w:szCs w:val="20"/>
        </w:rPr>
        <w:t>) megfelelő elemzését és értékelését. A műszaki dokumentáció meghatározza az alkalmazandó követelményeket, és – amennyire ez az értékelés szempontjából szükséges – ismerteti a termék tervét, gyártását és működését. A műszaki dokumentáció – adott esetben – legalább az alábbiakat tartalmazza: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termék általános leírását,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az összetevők, részegységek, áramkörök stb. tervezési és gyártási rajzait és vázlatait,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rajzok és vázlatok megértéséhez szükséges magyarázatokat, beleértve a termék működésének ismertetését,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részben vagy egészben alkalmazott olyan harmonizált szabványok, illetve egyéb vonatkozó műszaki előírások jegyzéke, amelyekre nézve az Európai Unió Hivatalos Lapjában hivatkozást tettek közzé, és amennyiben ezeket a harmonizált szabványokat nem alkalmazzák, akkor azoknak a megoldásoknak az ismertetése, amelyeket a jogalkotási aktus alapvető követelményeinek teljesítése érdekében alkalmaztak; részben alkalmazott harmonizált szabványok esetén a műszaki dokumentációban fel kell tüntetni, hogy mely részeket alkalmazták,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az elvégzett tervezési számítások, vizsgálatok eredményeit stb. és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vizsgálati jegyzőkönyveket.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Gyártás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gyártónak minden szükséges intézkedést meg kell tennie annak érdekében, hogy a gyártási eljárás és ennek figyelemmel kísérése biztosítsa azt, hogy az előállított termékek megfelelnek a 2. pontban említett műszaki dokumentációnak és a vonatkozó jogalkotási aktus követelményeinek.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4. Megfelelőségi jelölés és a megfelelőségi nyilatkozat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4.1. A gyártó a jogalkotási aktusban előírtak szerint elhelyezi a szükséges megfelelőségi jelölést a jogalkotási aktus alkalmazandó követelményeinek megfelelő összes terméken.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4.2. A gyártó a termék modelljére vonatkozóan írásos megfelelőségi nyilatkozatot készít, és a műszaki dokumentációval együtt a termék forgalomba hozatala után tíz évig a nemzeti hatóság számára elérhetővé teszi. A megfelelőségi nyilatkozat megnevezi azt a terméket, amelyre vonatkozóan elkészítették.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megfelelőségi nyilatkozat egy példányát kérésre hozzáférhetővé kell tenni az illetékes hatóságok számára.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meghatalmazott képviselő</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gyártónak a 4. pontban ismertetett kötelezettségei a gyártó nevében és felelősségére eljáró meghatalmazott képviselője révén is teljesíthetőek, amennyiben ez szerepel a meghatalmazásban.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A1. </w:t>
      </w:r>
      <w:proofErr w:type="gramStart"/>
      <w:r>
        <w:rPr>
          <w:rFonts w:ascii="Times New Roman" w:hAnsi="Times New Roman" w:cs="Times New Roman"/>
          <w:sz w:val="20"/>
          <w:szCs w:val="20"/>
        </w:rPr>
        <w:t>modul</w:t>
      </w:r>
      <w:proofErr w:type="gramEnd"/>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Belső gyártásellenőrzés és felügyelt termékvizsgálat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 A bejelentett szervezet által végzett belső gyártásellenőrzés és felügyelt termékvizsgálat az a </w:t>
      </w:r>
      <w:proofErr w:type="spellStart"/>
      <w:r>
        <w:rPr>
          <w:rFonts w:ascii="Times New Roman" w:hAnsi="Times New Roman" w:cs="Times New Roman"/>
          <w:sz w:val="20"/>
          <w:szCs w:val="20"/>
        </w:rPr>
        <w:t>megfelelőségértékelési</w:t>
      </w:r>
      <w:proofErr w:type="spellEnd"/>
      <w:r>
        <w:rPr>
          <w:rFonts w:ascii="Times New Roman" w:hAnsi="Times New Roman" w:cs="Times New Roman"/>
          <w:sz w:val="20"/>
          <w:szCs w:val="20"/>
        </w:rPr>
        <w:t xml:space="preserve"> eljárás, amellyel a gyártó eleget tesz a 2</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3., 4. és 5. pontban megállapított kötelezettségeknek, továbbá biztosítja azt, és saját kizárólagos felelőssége mellett nyilatkozik arról, hogy a szóban forgó termékek megfelelnek a vonatkozó jogalkotási aktus követelményeinek.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műszaki dokumentáció</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gyártó kidolgozza a műszaki dokumentációt. A dokumentáció lehetővé teszi annak értékelését, hogy a termék megfelel-e a vonatkozó követelményeknek, és tartalmazza a </w:t>
      </w:r>
      <w:proofErr w:type="gramStart"/>
      <w:r>
        <w:rPr>
          <w:rFonts w:ascii="Times New Roman" w:hAnsi="Times New Roman" w:cs="Times New Roman"/>
          <w:sz w:val="20"/>
          <w:szCs w:val="20"/>
        </w:rPr>
        <w:t>veszély(</w:t>
      </w:r>
      <w:proofErr w:type="spellStart"/>
      <w:proofErr w:type="gramEnd"/>
      <w:r>
        <w:rPr>
          <w:rFonts w:ascii="Times New Roman" w:hAnsi="Times New Roman" w:cs="Times New Roman"/>
          <w:sz w:val="20"/>
          <w:szCs w:val="20"/>
        </w:rPr>
        <w:t>ek</w:t>
      </w:r>
      <w:proofErr w:type="spellEnd"/>
      <w:r>
        <w:rPr>
          <w:rFonts w:ascii="Times New Roman" w:hAnsi="Times New Roman" w:cs="Times New Roman"/>
          <w:sz w:val="20"/>
          <w:szCs w:val="20"/>
        </w:rPr>
        <w:t>) megfelelő elemzését és értékelését. A műszaki dokumentáció meghatározza az alkalmazandó követelményeket, és – amennyire ez az értékelés szempontjából szükséges – ismerteti a termék tervét, gyártását és működését.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műszaki dokumentáció – adott esetben – legalább az alábbiakat tartalmazza: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termék általános leírását,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az összetevők, részegységek, áramkörök stb. tervezési és gyártási rajzait és vázlatait,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rajzok és vázlatok megértéséhez szükséges magyarázatokat, beleértve a termék működésének ismertetését,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részben vagy egészben alkalmazott olyan harmonizált szabványok, illetve egyéb vonatkozó műszaki előírások jegyzéke, amelyekre nézve az Európai Unió Hivatalos Lapjában hivatkozást tettek közzé, és amennyiben ezeket a harmonizált szabványokat nem alkalmazzák, akkor azoknak a megoldásoknak az ismertetése, amelyeket a jogalkotási aktus alapvető követelményeinek teljesítése érdekében alkalmaztak; részben alkalmazott harmonizált szabványok esetén a műszaki dokumentáció feltünteti, hogy mely részeket alkalmazták,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az elvégzett tervezési számítások, vizsgálatok eredményeit stb. és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vizsgálati jegyzőkönyveket.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Gyártás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gyártónak minden szükséges intézkedést meg kell tennie annak érdekében, hogy a gyártási eljárás és ennek figyelemmel kísérése biztosítsa azt, hogy az előállított termékek megfelelnek a 2. pontban említett műszaki dokumentációnak és a vonatkozó jogalkotási aktus követelményeinek.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Termékellenőrzés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gyártó vagy a nevében eljáró személy minden egyes előállított terméken annak egy vagy több tulajdonságával kapcsolatban egy vagy több vizsgálatot végez a jogalkotási aktus megfelelő követelményeinek való megfelelőség ellenőrzése érdekében. A gyártó választásának megfelelően a vizsgálatokat vagy egy belső akkreditált szervezet végzi, vagy a gyártó által választott, bejelentett szervezet felelőssége mellett hajtják végre.</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Amennyiben a vizsgálatokat egy bejelentett szervezet végzi, a gyártó a bejelentett szervezet felelőssége mellett a gyártási eljárás során elhelyezi a bejelentett </w:t>
      </w:r>
      <w:proofErr w:type="gramStart"/>
      <w:r>
        <w:rPr>
          <w:rFonts w:ascii="Times New Roman" w:hAnsi="Times New Roman" w:cs="Times New Roman"/>
          <w:sz w:val="20"/>
          <w:szCs w:val="20"/>
        </w:rPr>
        <w:t>szervezet azonosító</w:t>
      </w:r>
      <w:proofErr w:type="gramEnd"/>
      <w:r>
        <w:rPr>
          <w:rFonts w:ascii="Times New Roman" w:hAnsi="Times New Roman" w:cs="Times New Roman"/>
          <w:sz w:val="20"/>
          <w:szCs w:val="20"/>
        </w:rPr>
        <w:t xml:space="preserve"> számát.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Megfelelőségi jelölés és a megfelelőségi nyilatkozat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5.1. A gyártó a jogalkotási aktusban előírtak szerint elhelyezi a szükséges megfelelőségi jelölést a jogalkotási aktus alkalmazandó követelményeinek megfelelő összes terméken.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5.2. A gyártó a termék modelljére vonatkozóan írásos megfelelőségi nyilatkozatot készít, és a műszaki dokumentációval együtt a termék forgalomba hozatala után tíz évig a nemzeti hatóság számára elérhetővé teszi. A megfelelőségi nyilatkozat megnevezi azt a terméket, amelyre vonatkozóan elkészítették.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megfelelőségi nyilatkozat egy példányát kérésre hozzáférhetővé kell tenni az illetékes hatóságok számára.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meghatalmazott képviselő</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gyártónak az 5. pontban meghatározott kötelezettségei a gyártó nevében és felelősségére eljáró meghatalmazott képviselője révén is teljesíthetőek, amennyiben ez szerepel a meghatalmazásban.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A2. </w:t>
      </w:r>
      <w:proofErr w:type="gramStart"/>
      <w:r>
        <w:rPr>
          <w:rFonts w:ascii="Times New Roman" w:hAnsi="Times New Roman" w:cs="Times New Roman"/>
          <w:sz w:val="20"/>
          <w:szCs w:val="20"/>
        </w:rPr>
        <w:t>modul</w:t>
      </w:r>
      <w:proofErr w:type="gramEnd"/>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Belső gyártásellenőrzés és véletlenszerű időközönként végzett, felügyelt termékellenőrzés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 A belső gyártásellenőrzés és a bejelentett szervezet által, véletlenszerű időközönként végzett, felügyelt termékellenőrzés az a </w:t>
      </w:r>
      <w:proofErr w:type="spellStart"/>
      <w:r>
        <w:rPr>
          <w:rFonts w:ascii="Times New Roman" w:hAnsi="Times New Roman" w:cs="Times New Roman"/>
          <w:sz w:val="20"/>
          <w:szCs w:val="20"/>
        </w:rPr>
        <w:t>megfelelőségértékelési</w:t>
      </w:r>
      <w:proofErr w:type="spellEnd"/>
      <w:r>
        <w:rPr>
          <w:rFonts w:ascii="Times New Roman" w:hAnsi="Times New Roman" w:cs="Times New Roman"/>
          <w:sz w:val="20"/>
          <w:szCs w:val="20"/>
        </w:rPr>
        <w:t xml:space="preserve"> eljárás, amellyel a gyártó eleget tesz a 2</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3., 4. és 5. pontban megállapított kötelezettségeknek, továbbá biztosítja azt, és saját kizárólagos felelőssége mellett nyilatkozik arról, hogy a szóban forgó termékek megfelelnek a vonatkozó jogalkotási aktus követelményeinek.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műszaki dokumentáció</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gyártó kidolgozza a műszaki dokumentációt. A dokumentáció lehetővé teszi annak értékelését, hogy a termék megfelel-e a vonatkozó követelményeknek, és tartalmazza a </w:t>
      </w:r>
      <w:proofErr w:type="gramStart"/>
      <w:r>
        <w:rPr>
          <w:rFonts w:ascii="Times New Roman" w:hAnsi="Times New Roman" w:cs="Times New Roman"/>
          <w:sz w:val="20"/>
          <w:szCs w:val="20"/>
        </w:rPr>
        <w:t>veszély(</w:t>
      </w:r>
      <w:proofErr w:type="spellStart"/>
      <w:proofErr w:type="gramEnd"/>
      <w:r>
        <w:rPr>
          <w:rFonts w:ascii="Times New Roman" w:hAnsi="Times New Roman" w:cs="Times New Roman"/>
          <w:sz w:val="20"/>
          <w:szCs w:val="20"/>
        </w:rPr>
        <w:t>ek</w:t>
      </w:r>
      <w:proofErr w:type="spellEnd"/>
      <w:r>
        <w:rPr>
          <w:rFonts w:ascii="Times New Roman" w:hAnsi="Times New Roman" w:cs="Times New Roman"/>
          <w:sz w:val="20"/>
          <w:szCs w:val="20"/>
        </w:rPr>
        <w:t>) megfelelő elemzését és értékelését. A műszaki dokumentáció meghatározza az alkalmazandó követelményeket, és – amennyire ez az értékelés szempontjából szükséges – ismerteti a termék tervét, gyártását és működését. A műszaki dokumentáció – adott esetben – legalább az alábbiakat tartalmazza: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termék általános leírását,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az összetevők, részegységek, áramkörök stb. tervezési és gyártási rajzait és vázlatait,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rajzok és vázlatok megértéséhez szükséges magyarázatokat, beleértve a termék működésének ismertetését,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részben vagy egészben alkalmazott olyan harmonizált szabványok, illetve egyéb vonatkozó műszaki előírások jegyzéke, amelyekre nézve az Európai Unió Hivatalos Lapjában hivatkozást tettek közzé, és amennyiben ezeket a harmonizált szabványokat nem alkalmazzák, akkor azoknak a megoldásoknak az ismertetése, amelyeket a jogalkotási aktus alapvető követelményeinek teljesítése érdekében alkalmaztak; részben alkalmazott harmonizált szabványok esetén a műszaki dokumentáció feltünteti, hogy mely részeket alkalmazták,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az elvégzett tervezési számítások, vizsgálatok eredményeit stb. és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a vizsgálati jegyzőkönyveket.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Gyártás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gyártónak minden szükséges intézkedést meg kell tennie annak érdekében, hogy a gyártási eljárás és ennek figyelemmel kísérése biztosítsa azt, hogy az előállított termékek megfelelnek a 2. pontban említett műszaki dokumentációnak és a vonatkozó jogalkotási aktus követelményeinek.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Termékellenőrzés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gyártó választásának megfelelően vagy egy belső akkreditált szervezet, vagy a gyártó által választott bejelentett szervezet a belső termékellenőrzés minőségének ellenőrzése érdekében a szervezet által meghatározott véletlenszerű időközönként termékellenőrzést végez vagy végeztet, figyelembe véve többek között a termékek technológiai összetettségét és a termelési mennyiséget. A szervezet által a forgalomba hozatal előtt a helyszínen a végtermékből vett megfelelő mintát meg kell vizsgálni, és el kell rajta végezni a harmonizált szabványok és a műszaki </w:t>
      </w:r>
      <w:proofErr w:type="gramStart"/>
      <w:r>
        <w:rPr>
          <w:rFonts w:ascii="Times New Roman" w:hAnsi="Times New Roman" w:cs="Times New Roman"/>
          <w:sz w:val="20"/>
          <w:szCs w:val="20"/>
        </w:rPr>
        <w:t>dokumentáció vonatkozó</w:t>
      </w:r>
      <w:proofErr w:type="gramEnd"/>
      <w:r>
        <w:rPr>
          <w:rFonts w:ascii="Times New Roman" w:hAnsi="Times New Roman" w:cs="Times New Roman"/>
          <w:sz w:val="20"/>
          <w:szCs w:val="20"/>
        </w:rPr>
        <w:t xml:space="preserve"> részeiben meghatározott megfelelő vizsgálatokat, illetve az ezekkel egyenértékű vizsgálatokat annak ellenőrzése érdekében, hogy a termék megfelel-e a jogalkotási aktus vonatkozó követelményeinek.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Az alkalmazandó elfogadási mintavételezési eljárás célja annak meghatározása, hogy a termék gyártási eljárása elvégezhető-e az elfogadható határértékeken belül, a termék megfelelőségének biztosítása érdekében.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Amennyiben a vizsgálatokat egy bejelentett szervezet végzi, a gyártó a bejelentett szervezet felelőssége mellett a gyártási eljárás során elhelyezi a bejelentett </w:t>
      </w:r>
      <w:proofErr w:type="gramStart"/>
      <w:r>
        <w:rPr>
          <w:rFonts w:ascii="Times New Roman" w:hAnsi="Times New Roman" w:cs="Times New Roman"/>
          <w:sz w:val="20"/>
          <w:szCs w:val="20"/>
        </w:rPr>
        <w:t>szervezet azonosító</w:t>
      </w:r>
      <w:proofErr w:type="gramEnd"/>
      <w:r>
        <w:rPr>
          <w:rFonts w:ascii="Times New Roman" w:hAnsi="Times New Roman" w:cs="Times New Roman"/>
          <w:sz w:val="20"/>
          <w:szCs w:val="20"/>
        </w:rPr>
        <w:t xml:space="preserve"> számát.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Megfelelőségi jelölés és a megfelelőségi nyilatkozat</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5.1. A gyártó a jogalkotási aktusban előírtak szerint elhelyezi a szükséges megfelelőségi jelölést a jogalkotási aktus alkalmazandó követelményeinek megfelelő összes terméken.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5.2. A gyártó a termék modelljére vonatkozóan írásos megfelelőségi nyilatkozatot készít, és a műszaki dokumentációval együtt a termék forgalomba hozatala után tíz évig a nemzeti hatóság számára elérhetővé teszi. A megfelelőségi nyilatkozat megnevezi azt a terméket, amelyre vonatkozóan elkészítették.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megfelelőségi nyilatkozat egy példányát kérésre hozzáférhetővé kell tenni az illetékes hatóságok számára.</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meghatalmazott képviselő</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gyártónak az 5. pontban meghatározott kötelezettségei a gyártó nevében és felelősségére eljáró meghatalmazott képviselője révén is teljesíthetőek, amennyiben ez szerepel a meghatalmazásban.</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6. melléklet a 374/2012. (XII. 18.) Korm. rendelethez</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widowControl w:val="0"/>
        <w:autoSpaceDE w:val="0"/>
        <w:autoSpaceDN w:val="0"/>
        <w:adjustRightInd w:val="0"/>
        <w:spacing w:after="0" w:line="240" w:lineRule="auto"/>
        <w:ind w:left="284"/>
        <w:rPr>
          <w:rFonts w:ascii="Times New Roman" w:hAnsi="Times New Roman" w:cs="Times New Roman"/>
          <w:b/>
          <w:bCs/>
          <w:sz w:val="20"/>
          <w:szCs w:val="20"/>
        </w:rPr>
      </w:pPr>
      <w:r>
        <w:rPr>
          <w:rFonts w:ascii="Times New Roman" w:hAnsi="Times New Roman" w:cs="Times New Roman"/>
          <w:b/>
          <w:bCs/>
          <w:sz w:val="20"/>
          <w:szCs w:val="20"/>
        </w:rPr>
        <w:t>EU–megfelelőségi nyilatkozat</w:t>
      </w:r>
    </w:p>
    <w:p w:rsidR="0086455B" w:rsidRDefault="0086455B" w:rsidP="0086455B">
      <w:pPr>
        <w:widowControl w:val="0"/>
        <w:autoSpaceDE w:val="0"/>
        <w:autoSpaceDN w:val="0"/>
        <w:adjustRightInd w:val="0"/>
        <w:spacing w:after="0" w:line="240" w:lineRule="auto"/>
        <w:ind w:left="284"/>
        <w:rPr>
          <w:rFonts w:ascii="Times New Roman" w:hAnsi="Times New Roman" w:cs="Times New Roman"/>
          <w:sz w:val="20"/>
          <w:szCs w:val="20"/>
        </w:rPr>
      </w:pPr>
    </w:p>
    <w:p w:rsidR="0086455B" w:rsidRDefault="0086455B" w:rsidP="0086455B">
      <w:pPr>
        <w:widowControl w:val="0"/>
        <w:tabs>
          <w:tab w:val="left" w:pos="284"/>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Az elektromos vagy elektronikus berendezés egyedi azonosítója (… sz.)</w:t>
      </w:r>
    </w:p>
    <w:p w:rsidR="0086455B" w:rsidRDefault="0086455B" w:rsidP="0086455B">
      <w:pPr>
        <w:widowControl w:val="0"/>
        <w:tabs>
          <w:tab w:val="left" w:pos="284"/>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gyártónak vagy meghatalmazott képviselőjének neve és címe:</w:t>
      </w:r>
    </w:p>
    <w:p w:rsidR="0086455B" w:rsidRDefault="0086455B" w:rsidP="0086455B">
      <w:pPr>
        <w:widowControl w:val="0"/>
        <w:tabs>
          <w:tab w:val="left" w:pos="284"/>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E megfelelőségi nyilatkozat a gyártó (vagy a telepítést végző) kizárólagos felelősségére kerül kibocsátásra:</w:t>
      </w:r>
    </w:p>
    <w:p w:rsidR="0086455B" w:rsidRDefault="0086455B" w:rsidP="0086455B">
      <w:pPr>
        <w:widowControl w:val="0"/>
        <w:tabs>
          <w:tab w:val="left" w:pos="284"/>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 nyilatkozat tárgya (az elektromos vagy elektronikus berendezés nyomon követésére alkalmas azonosítás, szükség esetén fénykép is):</w:t>
      </w:r>
    </w:p>
    <w:p w:rsidR="0086455B" w:rsidRDefault="0086455B" w:rsidP="0086455B">
      <w:pPr>
        <w:widowControl w:val="0"/>
        <w:tabs>
          <w:tab w:val="left" w:pos="284"/>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E nyilatkozat fent leírt tárgya összhangban van a veszélyes anyagok elektromos és elektronikus berendezésekben való alkalmazásának korlátozásáról szóló 374/2012. (XII. 18.) Korm. rendelettel.</w:t>
      </w:r>
    </w:p>
    <w:p w:rsidR="0086455B" w:rsidRDefault="0086455B" w:rsidP="0086455B">
      <w:pPr>
        <w:widowControl w:val="0"/>
        <w:tabs>
          <w:tab w:val="left" w:pos="284"/>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Adott esetben hivatkozás az alkalmazásra került vonatkozó harmonizált szabványokra, illetőleg azokra a műszaki leírásokra, amelyekre nézve a megfelelésről nyilatkoznak:</w:t>
      </w:r>
    </w:p>
    <w:p w:rsidR="0086455B" w:rsidRDefault="0086455B" w:rsidP="0086455B">
      <w:pPr>
        <w:widowControl w:val="0"/>
        <w:tabs>
          <w:tab w:val="left" w:pos="284"/>
        </w:tab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Kiegészítő információk:</w:t>
      </w:r>
    </w:p>
    <w:p w:rsidR="0086455B" w:rsidRDefault="0086455B" w:rsidP="0086455B">
      <w:pPr>
        <w:widowControl w:val="0"/>
        <w:autoSpaceDE w:val="0"/>
        <w:autoSpaceDN w:val="0"/>
        <w:adjustRightInd w:val="0"/>
        <w:spacing w:after="0" w:line="240" w:lineRule="auto"/>
        <w:ind w:left="284"/>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nevében</w:t>
      </w:r>
      <w:proofErr w:type="gramEnd"/>
      <w:r>
        <w:rPr>
          <w:rFonts w:ascii="Times New Roman" w:hAnsi="Times New Roman" w:cs="Times New Roman"/>
          <w:sz w:val="20"/>
          <w:szCs w:val="20"/>
        </w:rPr>
        <w:t xml:space="preserve"> aláírva</w:t>
      </w:r>
    </w:p>
    <w:p w:rsidR="0086455B" w:rsidRDefault="0086455B" w:rsidP="0086455B">
      <w:pPr>
        <w:widowControl w:val="0"/>
        <w:autoSpaceDE w:val="0"/>
        <w:autoSpaceDN w:val="0"/>
        <w:adjustRightInd w:val="0"/>
        <w:spacing w:after="0" w:line="240" w:lineRule="auto"/>
        <w:ind w:left="284"/>
        <w:rPr>
          <w:rFonts w:ascii="Times New Roman" w:hAnsi="Times New Roman" w:cs="Times New Roman"/>
          <w:sz w:val="20"/>
          <w:szCs w:val="20"/>
        </w:rPr>
      </w:pPr>
      <w:r>
        <w:rPr>
          <w:rFonts w:ascii="Times New Roman" w:hAnsi="Times New Roman" w:cs="Times New Roman"/>
          <w:sz w:val="20"/>
          <w:szCs w:val="20"/>
        </w:rPr>
        <w:t>(kibocsátás helye és kelte):</w:t>
      </w:r>
    </w:p>
    <w:p w:rsidR="0086455B" w:rsidRDefault="0086455B" w:rsidP="0086455B">
      <w:pPr>
        <w:widowControl w:val="0"/>
        <w:autoSpaceDE w:val="0"/>
        <w:autoSpaceDN w:val="0"/>
        <w:adjustRightInd w:val="0"/>
        <w:spacing w:after="0" w:line="240" w:lineRule="auto"/>
        <w:ind w:left="284"/>
        <w:rPr>
          <w:rFonts w:ascii="Times New Roman" w:hAnsi="Times New Roman" w:cs="Times New Roman"/>
          <w:sz w:val="20"/>
          <w:szCs w:val="20"/>
        </w:rPr>
      </w:pPr>
      <w:r>
        <w:rPr>
          <w:rFonts w:ascii="Times New Roman" w:hAnsi="Times New Roman" w:cs="Times New Roman"/>
          <w:sz w:val="20"/>
          <w:szCs w:val="20"/>
        </w:rPr>
        <w:t>(név, beosztás) (aláírás):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7. melléklet a 374/2012. (XII. 18.) Korm. rendelethez</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elektromos és elektronikus berendezések termékcsoportjai</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Háztartási nagygépek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Háztartási kisgépek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Információs technológiai és távközlési berendezések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Szórakoztató elektronikai berendezések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Világítótestek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Elektromos és elektronikus szerszámok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Játékok, szabadidő- és sportfelszerelések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Orvostechnikai eszközök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Felügyeleti és vezérlő eszközök, beleértve az ipari felügyeleti és vezérlő eszközöket is</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Adagoló automaták</w:t>
      </w:r>
    </w:p>
    <w:p w:rsidR="0086455B" w:rsidRDefault="0086455B" w:rsidP="0086455B">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Az 1–10. pont szerinti kategóriák egyikébe sem tartozó egyéb elektromos és elektronikus berendezések.</w:t>
      </w:r>
    </w:p>
    <w:p w:rsidR="008509BE" w:rsidRDefault="008509BE"/>
    <w:sectPr w:rsidR="008509BE" w:rsidSect="008509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6455B"/>
    <w:rsid w:val="0055141B"/>
    <w:rsid w:val="008509BE"/>
    <w:rsid w:val="0086455B"/>
    <w:rsid w:val="00BA3994"/>
    <w:rsid w:val="00F557A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57A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F557A2"/>
    <w:rPr>
      <w:b/>
      <w:bCs/>
    </w:rPr>
  </w:style>
  <w:style w:type="paragraph" w:styleId="Listaszerbekezds">
    <w:name w:val="List Paragraph"/>
    <w:basedOn w:val="Norml"/>
    <w:uiPriority w:val="34"/>
    <w:qFormat/>
    <w:rsid w:val="00F557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6928</Words>
  <Characters>47807</Characters>
  <Application>Microsoft Office Word</Application>
  <DocSecurity>0</DocSecurity>
  <Lines>398</Lines>
  <Paragraphs>109</Paragraphs>
  <ScaleCrop>false</ScaleCrop>
  <Company>KSZF</Company>
  <LinksUpToDate>false</LinksUpToDate>
  <CharactersWithSpaces>54626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KissBeatrix</dc:creator>
  <cp:lastModifiedBy>KissBeatrix</cp:lastModifiedBy>
  <cp:revision>1</cp:revision>
  <dcterms:created xsi:type="dcterms:W3CDTF">2013-01-03T14:43:00Z</dcterms:created>
  <dcterms:modified xsi:type="dcterms:W3CDTF">2013-01-03T14:45:00Z</dcterms:modified>
</cp:coreProperties>
</file>